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87R16182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1342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1342: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1342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certain health information and other information to school districts and other participating entities in the Texas school employees uniform group health coverage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1579, Insurance Code, is amended by adding Section 1579.010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1579.010.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PARTICIPATING ENTITY REQUEST FOR CERTAIN INFORMATION.  (a) </w:t>
      </w:r>
      <w:r>
        <w:rPr>
          <w:u w:val="single"/>
        </w:rPr>
        <w:t xml:space="preserve"> </w:t>
      </w:r>
      <w:r>
        <w:rPr>
          <w:u w:val="single"/>
        </w:rPr>
        <w:t xml:space="preserve">Subject to Subsection (b), the trustee shall provide to a participating entity any de-identified health information, enrollment information, or other relevant information available to the trustee as requested by the entity in connection with a search for alternative health benefit plan coverage for the entity's employees and the employees' dependents.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provided by the trustee under this section may not include any personally identifying information of a covered individual that would be prohibited from disclosure under the Health Insurance Portability and Accountability Act of 1996 (Pub. L. No. 104-191) and regulations adopted under that Act.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trustee shall provide the information requested under this section at no cost to the requesting participating entity, in accordance with the procedures developed by the trustee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1342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