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87R1471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historical claims data and other information to school districts and other participating entities in the Texas school employees uniform group health coverage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1579, Insurance Code, is amended by adding Section 1579.010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ENTITY REQUEST FOR CERTAIN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trustee shall provide to a participating entity any historical claims data, enrollment information, or other relevant information available to the trustee as requested by the entity in connection with a search for alternative health benefit plan coverage for the entity's employees and the employees' dependents. </w:t>
      </w:r>
      <w:r>
        <w:rPr>
          <w:u w:val="single"/>
        </w:rPr>
        <w:t xml:space="preserve"> </w:t>
      </w:r>
      <w:r>
        <w:rPr>
          <w:u w:val="single"/>
        </w:rPr>
        <w:t xml:space="preserve">The information provided must include, for each tier of group coverage and for the five-year period preceding the date of the request: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claims experience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the type of illness or injury and the ongoing status of the illness or injury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medical claim that exceeds $50,000;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related series of medical claims for the same covered individual and for the same diagnosis that exceeds $50,000;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requested by the participating entity concerning covered individuals who are responsible for a claim or claims that total a large amount, as specified by the requesting participating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prescription drug claims and costs;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 enrollment.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provided by the trustee under this section may not include any personally identifying information of a covered individual, including any information that would identify a named covered individual as having a particular medical condition.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shall provide the information requested under this section at no cost to the requesting participating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