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87R7888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murder committed by a peace officer;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19.02, Penal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and except</w:t>
      </w:r>
      <w:r>
        <w:t xml:space="preserve"> [</w:t>
      </w:r>
      <w:r>
        <w:rPr>
          <w:strike/>
        </w:rPr>
        <w:t xml:space="preserve">Except</w:t>
      </w:r>
      <w:r>
        <w:t xml:space="preserve">] as provided by Subsection (d), an offense under this section is a felony of the first degree.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Subsection (d), an offense under this section is a felony of the first degree with a minimum term of imprisonment of 15 years if the offense is committed by a peace officer acting under the authority of the state or a political subdivision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