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87R6078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by which a taxing unit is required to provide public notice of certain ad valorem tax-related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26.04(e), Tax Code, is amended to read as follows: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The designated officer or employee shall </w:t>
      </w:r>
      <w:r>
        <w:rPr>
          <w:u w:val="single"/>
        </w:rPr>
        <w:t xml:space="preserve">publish in a newspaper and</w:t>
      </w:r>
      <w:r>
        <w:t xml:space="preserve"> post prominently on the home page of the taxing unit's Internet website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no-new-revenue tax rate, the voter-approval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and</w:t>
      </w:r>
    </w:p>
    <w:p w:rsidR="003F3435" w:rsidRDefault="0032493E">
      <w:pPr>
        <w:spacing w:line="480" w:lineRule="auto"/>
        <w:ind w:firstLine="1440"/>
        <w:jc w:val="both"/>
      </w:pPr>
      <w:r>
        <w:t xml:space="preserve">(3)</w:t>
      </w:r>
      <w:r xml:space="preserve">
        <w:t> </w:t>
      </w:r>
      <w:r xml:space="preserve">
        <w:t> </w:t>
      </w:r>
      <w:r>
        <w:t xml:space="preserve">a schedule of the taxing 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taxing unit's debts in the next year from property tax revenue, including payments of lawfully incurred contractual obligations providing security for the payment of the principal of and interest on bonds and other evidences of indebtedness issued on behalf of the taxing unit by another political subdivision and, if the taxing unit is created under Section 52, Article III, or Section 59, Article XVI, Texas Constitution, payments on debts that the taxing 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taxing 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