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87R1836 JTS-D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referenda on county property matters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291.007,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291.007.</w:t>
      </w:r>
      <w:r xml:space="preserve">
        <w:t> </w:t>
      </w:r>
      <w:r xml:space="preserve">
        <w:t> </w:t>
      </w:r>
      <w:r>
        <w:t xml:space="preserve">NONBINDING REFERENDUM ON COUNTY PROPERTY MATTER </w:t>
      </w:r>
      <w:r>
        <w:rPr>
          <w:u w:val="single"/>
        </w:rPr>
        <w:t xml:space="preserve">IN CERTAIN COUNTIES</w:t>
      </w:r>
      <w:r>
        <w:t xml:space="preserve">. 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county with a population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less than 40,000;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300,000 and in which the most populous military base in this state is wholly or partly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The commissioners court of a county [</w:t>
      </w:r>
      <w:r>
        <w:rPr>
          <w:strike/>
        </w:rPr>
        <w:t xml:space="preserve">with a population of less than 40,000</w:t>
      </w:r>
      <w:r>
        <w:t xml:space="preserve">] may order a nonbinding referendum in the county on any matter affecting county property.  The referendum must be held on an authorized uniform election date as provided by Chapter 41,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