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87R3943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1370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notification requirement concerning the availability of nurses on the campus of a public school, including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25, Education Code, is amended by adding Section 25.096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25.096.</w:t>
      </w:r>
      <w:r>
        <w:rPr>
          <w:u w:val="single"/>
        </w:rPr>
        <w:t xml:space="preserve"> </w:t>
      </w:r>
      <w:r>
        <w:rPr>
          <w:u w:val="single"/>
        </w:rPr>
        <w:t xml:space="preserve"> </w:t>
      </w:r>
      <w:r>
        <w:rPr>
          <w:u w:val="single"/>
        </w:rPr>
        <w:t xml:space="preserve">PARENTAL NOTIFICATION CONCERNING NURSES.  (a)  In this section, "nurse" means a person licensed under Chapter 301,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school, including an open-enrollment charter school, shall provide written notice to the parent of or other person standing in parental relation to each student enrolled in the school concerning the schedule and availability of a nurse on the school's campus during the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principal of the school shall provide the notice required by Subsection (b) not later than the 30th instructional day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day of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change to the nurse's schedule or availability that occurs during the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good faith effort to ensure that the notice required by this section is provided in a bilingual form to any parent or other person standing in parental relation whose primary language is not English;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 copy of any notice provided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may satisfy the notice requirement under Subsection (c) by posting the notice on the school's Internet website.  Notice posted under this subsection must be accessible from the home page of the Internet website by use of not more than three links.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