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87R5768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1378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notice prohibiting firearms at certain businesses selling or serving alcoholic beverages and the prohibition on carrying certain weapons on those premises.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104.06(c),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If the commission makes a determination under Subsection (a) that a holder of a license or permit receives 51 percent or more of the gross receipts of the premises from the sale or service of alcoholic beverages, </w:t>
      </w:r>
      <w:r>
        <w:rPr>
          <w:u w:val="single"/>
        </w:rPr>
        <w:t xml:space="preserve">except as otherwise required by this subsection</w:t>
      </w:r>
      <w:r>
        <w:t xml:space="preserve"> the holder shall comply with the requirements of Section 411.204, Government Code, and shall continue to comply with those requirements until the commission determines that the holder receives less than 51 percent of the gross receipts of the premises from the sale or service of alcoholic beverages for on-premises consumption.  </w:t>
      </w:r>
      <w:r>
        <w:rPr>
          <w:u w:val="single"/>
        </w:rPr>
        <w:t xml:space="preserve">A business that holds a food and beverage certificate issued under this code is not required to provide notice under Section 411.204, Government Code, regardless of the percentage of its income that is derived from the sale or service of alcoholic beverages for on-premises consumption.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411.204(e),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apply to a business that has a food and beverage certificate issued under the Alcoholic Beverage Code</w:t>
      </w:r>
      <w:r>
        <w:rPr>
          <w:u w:val="single"/>
        </w:rPr>
        <w:t xml:space="preserve">, regardless of whether the business derives 51 percent or more of its income from the sale or service of alcoholic beverages for on-premises consumption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46.03(a-1), Penal Code, is amended to read as follows:</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possesses or goes with a location-restricted knife:</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w:t>
      </w:r>
      <w:r>
        <w:rPr>
          <w:u w:val="single"/>
        </w:rPr>
        <w:t xml:space="preserve">is subject to Section 411.204(a), Government Code, and provides the notice required by that subsection</w:t>
      </w:r>
      <w:r>
        <w:t xml:space="preserve"> [</w:t>
      </w:r>
      <w:r>
        <w:rPr>
          <w:strike/>
        </w:rPr>
        <w:t xml:space="preserve">derives 51 percent or more of its income from the sale or service of alcoholic beverages for on-premises consumption, as determined by the Texas Alcoholic Beverage Commission under Section 104.06, Alcoholic Beverage Code</w:t>
      </w:r>
      <w:r>
        <w:t xml:space="preserv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person is a participant in the event and a location-restricted knife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person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on the premises of a mental hospital, as defined by Section 571.003, Health and Safety Code, unless the person has written authorization of the mental hospital administration;</w:t>
      </w:r>
    </w:p>
    <w:p w:rsidR="003F3435" w:rsidRDefault="0032493E">
      <w:pPr>
        <w:spacing w:line="480" w:lineRule="auto"/>
        <w:ind w:firstLine="1440"/>
        <w:jc w:val="both"/>
      </w:pPr>
      <w:r>
        <w:t xml:space="preserve">(6)</w:t>
      </w:r>
      <w:r xml:space="preserve">
        <w:t> </w:t>
      </w:r>
      <w:r xml:space="preserve">
        <w:t> </w:t>
      </w:r>
      <w:r>
        <w:t xml:space="preserve">in an amusement park; or</w:t>
      </w:r>
    </w:p>
    <w:p w:rsidR="003F3435" w:rsidRDefault="0032493E">
      <w:pPr>
        <w:spacing w:line="480" w:lineRule="auto"/>
        <w:ind w:firstLine="1440"/>
        <w:jc w:val="both"/>
      </w:pPr>
      <w:r>
        <w:t xml:space="preserve">(7)</w:t>
      </w:r>
      <w:r xml:space="preserve">
        <w:t> </w:t>
      </w:r>
      <w:r xml:space="preserve">
        <w:t> </w:t>
      </w:r>
      <w:r>
        <w:t xml:space="preserve">on the premises of a church, synagogue, or other established place of religious worship.</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46.035(b), Penal Code, is amended to read as follows:</w:t>
      </w:r>
    </w:p>
    <w:p w:rsidR="003F3435" w:rsidRDefault="0032493E">
      <w:pPr>
        <w:spacing w:line="480" w:lineRule="auto"/>
        <w:ind w:firstLine="720"/>
        <w:jc w:val="both"/>
      </w:pPr>
      <w:r>
        <w:t xml:space="preserve">(b)</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shoulder or belt holster, on or about the license holder's person:</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w:t>
      </w:r>
      <w:r>
        <w:rPr>
          <w:u w:val="single"/>
        </w:rPr>
        <w:t xml:space="preserve">is subject to Section 411.204(a), Government Code, and provides the notice required by that subsection</w:t>
      </w:r>
      <w:r>
        <w:t xml:space="preserve"> [</w:t>
      </w:r>
      <w:r>
        <w:rPr>
          <w:strike/>
        </w:rPr>
        <w:t xml:space="preserve">derives 51 percent or more of its income from the sale or service of alcoholic beverages for on-premises consumption, as determined by the Texas Alcoholic Beverage Commission under Section 104.06, Alcoholic Beverage Code</w:t>
      </w:r>
      <w:r>
        <w:t xml:space="preserv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license holder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license holder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or</w:t>
      </w:r>
    </w:p>
    <w:p w:rsidR="003F3435" w:rsidRDefault="0032493E">
      <w:pPr>
        <w:spacing w:line="480" w:lineRule="auto"/>
        <w:ind w:firstLine="1440"/>
        <w:jc w:val="both"/>
      </w:pPr>
      <w:r>
        <w:t xml:space="preserve">(6)</w:t>
      </w:r>
      <w:r xml:space="preserve">
        <w:t> </w:t>
      </w:r>
      <w:r xml:space="preserve">
        <w:t> </w:t>
      </w:r>
      <w:r>
        <w:t xml:space="preserve">on the premises of a civil commitment facility.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46.035(k), Penal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