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87R16693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Morales Shaw, Ortega, et al.</w:t>
      </w:r>
      <w:r xml:space="preserve">
        <w:tab wTab="150" tlc="none" cTlc="0"/>
      </w:r>
      <w:r>
        <w:t xml:space="preserve">H.B.</w:t>
      </w:r>
      <w:r xml:space="preserve">
        <w:t> </w:t>
      </w:r>
      <w:r>
        <w:t xml:space="preserve">No.</w:t>
      </w:r>
      <w:r xml:space="preserve">
        <w:t> </w:t>
      </w:r>
      <w:r>
        <w:t xml:space="preserve">1382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information regarding early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ELECTRONIC TRACKING OF APPLICATION FOR BALLOT VOTED BY MAIL OR BALLOT VOTED BY MAIL.  (a)  The secretary of state shall develop or otherwise provide an online tool to each early voting clerk that enables a person who submits an application for a ballot to be voted by mail to track the location and status of the person's application and ballot on the secretary's Internet website and on the county's Internet website if the early voting clerk is the county clerk of a county that maintains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and registration address and the last four digits of the voter's social security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 number;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identification card number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online tool used under this section must update the applicable Internet website as soon as practicable after each of the following events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receipt by the early voting clerk of the person's application for a ballot to be voted by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acceptance or rejection by the early voting clerk of the person's application for a ballot to be voted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placement in the mail by the early voting clerk of the person's official ballot;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receipt by the early voting clerk of the person's marked ballot;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acceptance or rejection by the early voting ballot board of a person's marked ballot.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information contained in Subsection (c) is not public information for purposes of Chapter 552, Government Code, until after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election day information described by Subsections (g) and (h) not later than 11 a.m. on the day after the election.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final rosters containing information described by Subsections (g) and (h) not later than the 20th day after the date of the local canvass.</w:t>
      </w:r>
    </w:p>
    <w:p w:rsidR="003F3435" w:rsidRDefault="0032493E">
      <w:pPr>
        <w:spacing w:line="480" w:lineRule="auto"/>
        <w:ind w:firstLine="720"/>
        <w:jc w:val="both"/>
      </w:pPr>
      <w:r>
        <w:rPr>
          <w:u w:val="single"/>
        </w:rPr>
        <w:t xml:space="preserve">(m)</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 </w:t>
      </w:r>
      <w:r>
        <w:rPr>
          <w:u w:val="single"/>
        </w:rPr>
        <w:t xml:space="preserve">not later than 11 a.m. on the day following the day of receipt of the information</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Section 1 of this Act apply beginning with an application for a ballot to be voted by mail for an election held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