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87R2993 MCK-D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Harris, Noble,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storage of firearms and ammunition in the same locked location in certain foster homes.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42.042(e-1), Human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(e-1)</w:t>
      </w:r>
      <w:r xml:space="preserve">
        <w:t> </w:t>
      </w:r>
      <w:r xml:space="preserve">
        <w:t> </w:t>
      </w:r>
      <w:r>
        <w:t xml:space="preserve">The commission may not prohibit possession of lawfully permitted firearms and ammunition in an agency foster home. </w:t>
      </w:r>
      <w:r>
        <w:t xml:space="preserve"> </w:t>
      </w:r>
      <w:r>
        <w:t xml:space="preserve">Minimum standards may be adopted under this section relating to safety and proper storage of firearms and ammunition. </w:t>
      </w:r>
      <w:r>
        <w:t xml:space="preserve"> </w:t>
      </w:r>
      <w:r>
        <w:t xml:space="preserve">The minimum standards must allow firearms and ammunition to be [</w:t>
      </w:r>
      <w:r>
        <w:rPr>
          <w:strike/>
        </w:rPr>
        <w:t xml:space="preserve">stored separately or</w:t>
      </w:r>
      <w:r>
        <w:t xml:space="preserve">] stored together in the same locked location [</w:t>
      </w:r>
      <w:r>
        <w:rPr>
          <w:strike/>
        </w:rPr>
        <w:t xml:space="preserve">if the firearms are stored with a trigger locking device attached to the firearms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