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87R6235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veteran status of prisoners confined in county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w:t>
      </w:r>
      <w:r>
        <w:rPr>
          <w:u w:val="single"/>
        </w:rPr>
        <w:t xml:space="preserve">during the intake process</w:t>
      </w:r>
      <w:r>
        <w:t xml:space="preserve"> by using data made available from the Veterans Reentry Search Service (VRSS) operated by the United States Department of Veterans Affairs or a similar service;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submit a daily report identifying each prisoner whose veteran status was verified under Paragraph (A) during the previous day to the Texas Veterans Commission and, as applicable, the veterans county service officer for the county and each court in which charges against a prisoner identified in the report are pending</w:t>
      </w:r>
      <w:r>
        <w:t xml:space="preserve">;</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(24)</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