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87R5743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professional liability insurance coverage for and prohibitions on the provision to certain children of procedures and treatments for gender transitioning, gender reassignment, or gender dysphoria.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the laws of this state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other health care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administer, prescribe,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The prohibitions under Section 161.702 do not apply to the provision by a physician or other health care provider, with the consent of the child's parent or legal guardian, of appropriate and medically necessary gender transitioning or gender reassignment procedures or treatments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46, XX chromosomes with virilization;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46, XY chromosomes with undervirilization;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1901, Insurance Code, is amended by adding Section 1901.256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1901.256.</w:t>
      </w:r>
      <w:r>
        <w:rPr>
          <w:u w:val="single"/>
        </w:rPr>
        <w:t xml:space="preserve"> </w:t>
      </w:r>
      <w:r>
        <w:rPr>
          <w:u w:val="single"/>
        </w:rPr>
        <w:t xml:space="preserve"> </w:t>
      </w:r>
      <w:r>
        <w:rPr>
          <w:u w:val="single"/>
        </w:rPr>
        <w:t xml:space="preserve">PROHIBITED COVERAGE FOR PROVISION OF CERTAIN GENDER-RELATED PROCEDURES AND TREATMENTS TO CERTAIN CHILDREN.  A professional liability insurance policy issued to a physician or health care provider may not include coverage for damages assessed against the physician or health care provider who provides to a child gender transitioning or gender reassignment procedures or treatments that are prohibited by Section 161.702,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164.052,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for the purpose of facilitating the gender transition or treating the gender dysphoria of an unemancipated minor: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administers, prescribes, or dispenses a puberty suppression or blocking prescription drug or cross-sex hormone to the minor, including by writing a false or fictitious prescription;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attempts to perform a surgical intervention on the minor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(a)(23), a physician or applicant for a license to practice medicine does not commit a prohibited practice if the physician or applicant provides a puberty suppression or blocking prescription drug to an unemancipated minor for the purpose of normalizing puberty for a minor experiencing precocious puberty.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1901.256, Insurance Code, as added by this Act, applies only to a medical professional liability insurance policy that is delivered, issued for delivery, or renewed on or after January 1, 2022. An insurance policy that is delivered, issued for delivery, or renewed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164.052, Occupations Code, as amended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