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87R16022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A. Johnson of Harris, White, Wu,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to send applications and orders for sealing juvenile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58.256, Family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filed under this section may be sent to the juvenile court by any reasonable method authorized under Rule 21, Texas Rules of Civil Procedure, including secure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58.258(c),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entry of the order, all adjudications relating to the person are vacated and the proceedings are dismissed and treated for all purposes as though the proceedings had never occurred. </w:t>
      </w:r>
      <w:r>
        <w:t xml:space="preserve"> </w:t>
      </w:r>
      <w:r>
        <w:t xml:space="preserve">The clerk of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seal all court records relating to the proceedings, including any records created in the clerk's case management system;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copies of the order to all entities listed in the order by any reasonable method, including certified mail </w:t>
      </w:r>
      <w:r>
        <w:rPr>
          <w:u w:val="single"/>
        </w:rPr>
        <w:t xml:space="preserve">or secure electronic means</w:t>
      </w:r>
      <w:r>
        <w:t xml:space="preserve">[</w:t>
      </w:r>
      <w:r>
        <w:rPr>
          <w:strike/>
        </w:rPr>
        <w:t xml:space="preserve">, regular mail, or e-mail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