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Capriglione, Raymond, Canales,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King of Parker, Harless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business days for purposes of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552, Government Code, is amended by adding Section 552.0031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552.0031.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BUSINESS DAYS.  (a)  Except as provided by this section, in this chapter "business day" means a day other than 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Saturday or Sunday;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national holiday under Section 662.003(a);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holiday under Section 662.003(b).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optional holiday under Section 662.003(c) is not a business day of a governmental body if the officer for public information of the governmental body observes the optional holiday.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holiday established by the governing body of an institution of higher education under Section 662.011(a) is not a business day of the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Friday before or Monday after a holiday described by Subsection (a)(2) or (3) is not a business day of a governmental body if the holiday occurs on a Saturday or Sunday and the governmental body observes the holiday on that Friday or Monday.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the requirements of this subsection, a governmental body may designate a day on which the governmental body's administrative offices are closed or operating with minimum staffing as a non-business day.  The designation of a non-business day for an independent school district must be made by the board of trustees.  The designation of a non-business day for a governmental body other than an independent school district must be made by the executive director or other chief administrative officer.  A governmental body may designate not more than 10 non-business days under this subsection each calendar year.  A governmental body shall make a good faith effort to post advance notice of the non-business days designated under this subsection on the governmental body's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request for public information received by a governmental body or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