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87R4937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forensic medical examination of a victim of sexual assault who is a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56A.251, Code of Criminal Procedure, is amended by amending Subsections (a) and (c) and adding Subsections (c-1) and (c-2) and is further amended to conform to Section 3, Chapter 1037 (H.B. 616),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if a sexual assault </w:t>
      </w:r>
      <w:r>
        <w:rPr>
          <w:u w:val="single"/>
        </w:rPr>
        <w:t xml:space="preserve">of a person other than a minor</w:t>
      </w:r>
      <w:r>
        <w:t xml:space="preserve">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(c)</w:t>
      </w:r>
      <w:r xml:space="preserve">
        <w:t> </w:t>
      </w:r>
      <w:r xml:space="preserve">
        <w:t> </w:t>
      </w:r>
      <w:r>
        <w:t xml:space="preserve">If a sexual assault </w:t>
      </w:r>
      <w:r>
        <w:rPr>
          <w:u w:val="single"/>
        </w:rPr>
        <w:t xml:space="preserve">of a person other than a minor</w:t>
      </w:r>
      <w:r>
        <w:t xml:space="preserve"> is not reported within the period described by Subsection (a), on receiving the consent described by that subsection a law enforcement agency may request a forensic medical examination of a victim of an alleged sexual assault as considered appropriate by the agency.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this article, "minor" has the meaning assigned by Section 101.003, Family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the sexual assault of a minor is reported at any time after the assault, on receiving the consent of the minor's parent or guardian, an employee of the Department of Family and Protective Services, or other person with the power to consent to the medical treatment of the minor, as applicable, a law enforcement agency shall request a forensic medical examination of the minor.  A law enforcement agency may not decline to request a forensic medical examination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report of a sexual assault that is made to a law enforcement agency on or after the effective date of this Act.  The report of a sexual assault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