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by a political subdivision of a contingent fee contract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w:t>
      </w:r>
      <w:r>
        <w:rPr>
          <w:u w:val="single"/>
        </w:rPr>
        <w:t xml:space="preserve">by a political subdivision for the collection of an obligation, as defined by Section 2107.001, that is delinquent</w:t>
      </w:r>
      <w:r>
        <w:t xml:space="preserve"> [</w:t>
      </w:r>
      <w:r>
        <w:rPr>
          <w:strike/>
        </w:rPr>
        <w:t xml:space="preserve">under Section 6.30, Tax Code, Article 103.0031, Code of Criminal Procedure,</w:t>
      </w:r>
      <w:r>
        <w:t xml:space="preserve">] or </w:t>
      </w:r>
      <w:r>
        <w:rPr>
          <w:u w:val="single"/>
        </w:rPr>
        <w:t xml:space="preserve">for services under</w:t>
      </w:r>
      <w:r>
        <w:t xml:space="preserve"> Section 1201.027</w:t>
      </w:r>
      <w:r>
        <w:rPr>
          <w:u w:val="single"/>
        </w:rPr>
        <w:t xml:space="preserve">,</w:t>
      </w:r>
      <w:r>
        <w:t xml:space="preserve"> [</w:t>
      </w:r>
      <w:r>
        <w:rPr>
          <w:strike/>
        </w:rPr>
        <w:t xml:space="preserve">of this code</w:t>
      </w:r>
      <w:r>
        <w:t xml:space="preserve">] except that Sections 2254.1032, 2254.1034, 2254.1036, and 2254.1037 do apply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2254.102(e), Government Code, as amended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