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1428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Jurisprudence; April</w:t>
      </w:r>
      <w:r xml:space="preserve">
        <w:t> </w:t>
      </w:r>
      <w:r>
        <w:t xml:space="preserve">23,</w:t>
      </w:r>
      <w:r xml:space="preserve">
        <w:t> </w:t>
      </w:r>
      <w:r>
        <w:t xml:space="preserve">2021, reported favorably by the following vote:</w:t>
      </w:r>
      <w:r>
        <w:t xml:space="preserve"> </w:t>
      </w:r>
      <w:r>
        <w:t xml:space="preserve"> </w:t>
      </w:r>
      <w:r>
        <w:t xml:space="preserve">Yeas 5,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procurement by a political subdivision of a contingent fee contract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w:t>
      </w:r>
      <w:r>
        <w:rPr>
          <w:u w:val="single"/>
        </w:rPr>
        <w:t xml:space="preserve">by a political subdivision for the collection of an obligation, as defined by Section 2107.001, that is delinquent</w:t>
      </w:r>
      <w:r>
        <w:t xml:space="preserve"> [</w:t>
      </w:r>
      <w:r>
        <w:rPr>
          <w:strike/>
        </w:rPr>
        <w:t xml:space="preserve">under Section 6.30, Tax Code, Article 103.0031, Code of Criminal Procedure,</w:t>
      </w:r>
      <w:r>
        <w:t xml:space="preserve">] or </w:t>
      </w:r>
      <w:r>
        <w:rPr>
          <w:u w:val="single"/>
        </w:rPr>
        <w:t xml:space="preserve">for services under</w:t>
      </w:r>
      <w:r>
        <w:t xml:space="preserve"> Section 1201.027</w:t>
      </w:r>
      <w:r>
        <w:rPr>
          <w:u w:val="single"/>
        </w:rPr>
        <w:t xml:space="preserve">,</w:t>
      </w:r>
      <w:r>
        <w:t xml:space="preserve"> [</w:t>
      </w:r>
      <w:r>
        <w:rPr>
          <w:strike/>
        </w:rPr>
        <w:t xml:space="preserve">of this code</w:t>
      </w:r>
      <w:r>
        <w:t xml:space="preserve">] except that Sections 2254.1032, 2254.1034, 2254.1036, and 2254.1037 do apply to the contract. </w:t>
      </w:r>
      <w:r>
        <w:t xml:space="preserve"> </w:t>
      </w:r>
      <w:r>
        <w:rPr>
          <w:u w:val="single"/>
        </w:rPr>
        <w:t xml:space="preserve">For purposes of this subsection, an obligation does not include a fine or penalty that results from an action by a political subdivision under Chapter 7,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2254.102(e), Government Code, as amended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