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87R5117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1432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discriminatory abortions; authorizing disciplinary action;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POST-VIABILITY ABORTION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DISCRIMINATORY ABORTION.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induce, or attempt to perform or induce on a pregnant woman an abortion based on the race,  ethnicity, or national origin of the unborn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an abortion based on the race, ethnicity, or national origin of an unborn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LICENSE SUSPENSION OR REVOCATION.  A physician who violates Section 170.051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ABORTION FACILITY; ADMINISTRATIVE PENALTY. The commission may impose an administrative penalty, in the amount determined by the commission, against an abortion facility licensed under Chapter 245 that violates Section 170.051 as if the facility had violated the facility's applicable licensing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w:t>
      </w:r>
      <w:r>
        <w:rPr>
          <w:u w:val="single"/>
        </w:rPr>
        <w:t xml:space="preserve">,</w:t>
      </w:r>
      <w:r>
        <w:t xml:space="preserve"> [</w:t>
      </w:r>
      <w:r>
        <w:rPr>
          <w:strike/>
        </w:rPr>
        <w:t xml:space="preserve">or</w:t>
      </w:r>
      <w:r>
        <w:t xml:space="preserve">] induces</w:t>
      </w:r>
      <w:r>
        <w:rPr>
          <w:u w:val="single"/>
        </w:rPr>
        <w:t xml:space="preserve">,</w:t>
      </w:r>
      <w:r>
        <w:t xml:space="preserve">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induces, or attempts to perform or induce an abortion or engages in other conduct in violation of Section 170.051, Health and Safety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The criminal penalties provided by Section 165.152 do not apply to a violation of Section 170.002 </w:t>
      </w:r>
      <w:r>
        <w:rPr>
          <w:u w:val="single"/>
        </w:rPr>
        <w:t xml:space="preserve">or 170.051</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Chapter 170, Health and Safety Code, and Chapter 164, Occupations Code, apply only to an abortion performed, induced, or attempted or other conduct that occurs on or after the effective date of this Act.  An abortion performed, induced, or attempted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