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87R17619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Hull</w:t>
      </w:r>
      <w:r xml:space="preserve">
        <w:tab wTab="150" tlc="none" cTlc="0"/>
      </w:r>
      <w:r>
        <w:t xml:space="preserve">H.B.</w:t>
      </w:r>
      <w:r xml:space="preserve">
        <w:t> </w:t>
      </w:r>
      <w:r>
        <w:t xml:space="preserve">No.</w:t>
      </w:r>
      <w:r xml:space="preserve">
        <w:t> </w:t>
      </w:r>
      <w:r>
        <w:t xml:space="preserve">1434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1434:</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pelvic examinations; authorizing disciplinary action, including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167A to read as follows:</w:t>
      </w:r>
    </w:p>
    <w:p w:rsidR="003F3435" w:rsidRDefault="0032493E">
      <w:pPr>
        <w:spacing w:line="480" w:lineRule="auto"/>
        <w:jc w:val="center"/>
      </w:pPr>
      <w:r>
        <w:rPr>
          <w:u w:val="single"/>
        </w:rPr>
        <w:t xml:space="preserve">CHAPTER 167A.  PELVIC EXAMINATIONS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practitioner" means a physician, physician assistant, or advanced practice registered nurse licensed to practice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"Patient's legally authorized representative"</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parent, managing conservator, or guardian of a patient, if the patient is a minor;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guardian of the patient, if the patient has been adjudicated incompetent to manage the patient's personal affairs;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agent of the patient authorized under a durable power of attorney for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"Pelvic examination" means a physical examination by a health care practitioner of a patient's external and internal reproductive organs, genitalia, or rectum.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167A.002.</w:t>
      </w:r>
      <w:r>
        <w:rPr>
          <w:u w:val="single"/>
        </w:rPr>
        <w:t xml:space="preserve"> </w:t>
      </w:r>
      <w:r>
        <w:rPr>
          <w:u w:val="single"/>
        </w:rPr>
        <w:t xml:space="preserve"> </w:t>
      </w:r>
      <w:r>
        <w:rPr>
          <w:u w:val="single"/>
        </w:rPr>
        <w:t xml:space="preserve">LIMITATIONS ON CERTAIN PELVIC EXAMINATIONS.  (a) </w:t>
      </w:r>
      <w:r>
        <w:rPr>
          <w:u w:val="single"/>
        </w:rPr>
        <w:t xml:space="preserve"> </w:t>
      </w:r>
      <w:r>
        <w:rPr>
          <w:u w:val="single"/>
        </w:rPr>
        <w:t xml:space="preserve">A health care practitioner may not perform or delegate to another individual, including a student training to become a health care practitioner, the performance of a pelvic examination on an anesthetized or unconscious patient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pelvic examination is within the standard scope of a procedure or diagnostic examination scheduled to be performed on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or the patient's legally authorized representative gives informed consent for the pelvic examination as provided by Subsection (b);</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pelvic examination is necessary for diagnosis or treatment of the patient's medical condition;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pelvic examination is for the purpose of collecting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obtain informed consent to perform a pelvic examination on an unconscious or anesthetized patient, a health care practitioner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patient or the patient's legally authorized representative with a written or electronic informed consent form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be included as a distinct or separate section of a general informed consent form;</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the following heading at the top of the form in at least 18-point boldface type: "CONSENT FOR EXAMINATION OF PELVIC REGION";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specifies the nature and purpose of the pelvic examination;</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informs the patient or the patient's legally authorized representative that a medical student or resident may be present if the patient or the patient's legally authorized representative authorizes the student or resident to: </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 the pelvic examination;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observe or otherwise be present at the pelvic examination, either in person or through electronic means;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allows the patient or the patient's legally authorized representative the opportunity to consent to or refuse to consent to the pelvic examination;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allows a patient or a patient's legally authorized representative that consents to a pelvic examination under Paragraph (E) the opportunity to authorize or refuse to authorize:</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medical student or resident to perform the pelvic examination;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medical student or resident to observe or otherwise be present at the pelvic examination, either in person or through electronic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signature of the patient or the patient's legally authorized representative on the informed consent form;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informed consent form.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167A.003.</w:t>
      </w:r>
      <w:r>
        <w:rPr>
          <w:u w:val="single"/>
        </w:rPr>
        <w:t xml:space="preserve"> </w:t>
      </w:r>
      <w:r>
        <w:rPr>
          <w:u w:val="single"/>
        </w:rPr>
        <w:t xml:space="preserve"> </w:t>
      </w:r>
      <w:r>
        <w:rPr>
          <w:u w:val="single"/>
        </w:rPr>
        <w:t xml:space="preserve">DISCIPLINARY ACTION.  The appropriate licensing authority may take disciplinary action against a health care practitioner who violates Section 167A.002, including imposing an administrative penalty, as if the practitioner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33,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w:t>
      </w:r>
      <w:r>
        <w:rPr>
          <w:u w:val="single"/>
        </w:rPr>
        <w:t xml:space="preserve">; or</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performs or delegates to another individual the performance of a pelvic examination on an anesthetized or unconscious patient in violation of Section 167A.002,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301.452(b),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is subject to denial of a license or to disciplinary action under this subchapter for:</w:t>
      </w:r>
    </w:p>
    <w:p w:rsidR="003F3435" w:rsidRDefault="0032493E">
      <w:pPr>
        <w:spacing w:line="480" w:lineRule="auto"/>
        <w:ind w:firstLine="1440"/>
        <w:jc w:val="both"/>
      </w:pPr>
      <w:r>
        <w:t xml:space="preserve">(1)</w:t>
      </w:r>
      <w:r xml:space="preserve">
        <w:t> </w:t>
      </w:r>
      <w:r xml:space="preserve">
        <w:t> </w:t>
      </w:r>
      <w:r>
        <w:t xml:space="preserve">a violation of this chapter, a rule or regulation not inconsistent with this chapter, or an order issued under this chapter;</w:t>
      </w:r>
    </w:p>
    <w:p w:rsidR="003F3435" w:rsidRDefault="0032493E">
      <w:pPr>
        <w:spacing w:line="480" w:lineRule="auto"/>
        <w:ind w:firstLine="1440"/>
        <w:jc w:val="both"/>
      </w:pPr>
      <w:r>
        <w:t xml:space="preserve">(2)</w:t>
      </w:r>
      <w:r xml:space="preserve">
        <w:t> </w:t>
      </w:r>
      <w:r xml:space="preserve">
        <w:t> </w:t>
      </w:r>
      <w:r>
        <w:t xml:space="preserve">fraud or deceit in procuring or attempting to procure a license to practice professional nursing or vocational nursing;</w:t>
      </w:r>
    </w:p>
    <w:p w:rsidR="003F3435" w:rsidRDefault="0032493E">
      <w:pPr>
        <w:spacing w:line="480" w:lineRule="auto"/>
        <w:ind w:firstLine="1440"/>
        <w:jc w:val="both"/>
      </w:pPr>
      <w:r>
        <w:t xml:space="preserve">(3)</w:t>
      </w:r>
      <w:r xml:space="preserve">
        <w:t> </w:t>
      </w:r>
      <w:r xml:space="preserve">
        <w:t> </w:t>
      </w:r>
      <w:r>
        <w:t xml:space="preserve">a conviction for, or placement on deferred adjudication community supervision or deferred disposition for, a felony or for a misdemeanor involving moral turpitude;</w:t>
      </w:r>
    </w:p>
    <w:p w:rsidR="003F3435" w:rsidRDefault="0032493E">
      <w:pPr>
        <w:spacing w:line="480" w:lineRule="auto"/>
        <w:ind w:firstLine="1440"/>
        <w:jc w:val="both"/>
      </w:pPr>
      <w:r>
        <w:t xml:space="preserve">(4)</w:t>
      </w:r>
      <w:r xml:space="preserve">
        <w:t> </w:t>
      </w:r>
      <w:r xml:space="preserve">
        <w:t> </w:t>
      </w:r>
      <w:r>
        <w:t xml:space="preserve">conduct that results in the revocation of probation imposed because of conviction for a felony or for a misdemeanor involving moral turpitude;</w:t>
      </w:r>
    </w:p>
    <w:p w:rsidR="003F3435" w:rsidRDefault="0032493E">
      <w:pPr>
        <w:spacing w:line="480" w:lineRule="auto"/>
        <w:ind w:firstLine="1440"/>
        <w:jc w:val="both"/>
      </w:pPr>
      <w:r>
        <w:t xml:space="preserve">(5)</w:t>
      </w:r>
      <w:r xml:space="preserve">
        <w:t> </w:t>
      </w:r>
      <w:r xml:space="preserve">
        <w:t> </w:t>
      </w:r>
      <w:r>
        <w:t xml:space="preserve">use of a nursing license, diploma, or permit, or the transcript of such a document, that has been fraudulently purchased, issued, counterfeited, or materially altered;</w:t>
      </w:r>
    </w:p>
    <w:p w:rsidR="003F3435" w:rsidRDefault="0032493E">
      <w:pPr>
        <w:spacing w:line="480" w:lineRule="auto"/>
        <w:ind w:firstLine="1440"/>
        <w:jc w:val="both"/>
      </w:pPr>
      <w:r>
        <w:t xml:space="preserve">(6)</w:t>
      </w:r>
      <w:r xml:space="preserve">
        <w:t> </w:t>
      </w:r>
      <w:r xml:space="preserve">
        <w:t> </w:t>
      </w:r>
      <w:r>
        <w:t xml:space="preserve">impersonating or acting as a proxy for another person in the licensing examination required under Section 301.253 or 301.255;</w:t>
      </w:r>
    </w:p>
    <w:p w:rsidR="003F3435" w:rsidRDefault="0032493E">
      <w:pPr>
        <w:spacing w:line="480" w:lineRule="auto"/>
        <w:ind w:firstLine="1440"/>
        <w:jc w:val="both"/>
      </w:pPr>
      <w:r>
        <w:t xml:space="preserve">(7)</w:t>
      </w:r>
      <w:r xml:space="preserve">
        <w:t> </w:t>
      </w:r>
      <w:r xml:space="preserve">
        <w:t> </w:t>
      </w:r>
      <w:r>
        <w:t xml:space="preserve">directly or indirectly aiding or abetting an unlicensed person in connection with the unauthorized practice of nursing;</w:t>
      </w:r>
    </w:p>
    <w:p w:rsidR="003F3435" w:rsidRDefault="0032493E">
      <w:pPr>
        <w:spacing w:line="480" w:lineRule="auto"/>
        <w:ind w:firstLine="1440"/>
        <w:jc w:val="both"/>
      </w:pPr>
      <w:r>
        <w:t xml:space="preserve">(8)</w:t>
      </w:r>
      <w:r xml:space="preserve">
        <w:t> </w:t>
      </w:r>
      <w:r xml:space="preserve">
        <w:t> </w:t>
      </w:r>
      <w:r>
        <w:t xml:space="preserve">revocation, suspension, or denial of, or any other action relating to, the person's license or privilege to practice nursing in another jurisdiction or under federal law;</w:t>
      </w:r>
    </w:p>
    <w:p w:rsidR="003F3435" w:rsidRDefault="0032493E">
      <w:pPr>
        <w:spacing w:line="480" w:lineRule="auto"/>
        <w:ind w:firstLine="1440"/>
        <w:jc w:val="both"/>
      </w:pPr>
      <w:r>
        <w:t xml:space="preserve">(9)</w:t>
      </w:r>
      <w:r xml:space="preserve">
        <w:t> </w:t>
      </w:r>
      <w:r xml:space="preserve">
        <w:t> </w:t>
      </w:r>
      <w:r>
        <w:t xml:space="preserve">intemperate use of alcohol or drugs that the board determines endangers or could endanger a patient;</w:t>
      </w:r>
    </w:p>
    <w:p w:rsidR="003F3435" w:rsidRDefault="0032493E">
      <w:pPr>
        <w:spacing w:line="480" w:lineRule="auto"/>
        <w:ind w:firstLine="1440"/>
        <w:jc w:val="both"/>
      </w:pPr>
      <w:r>
        <w:t xml:space="preserve">(10)</w:t>
      </w:r>
      <w:r xml:space="preserve">
        <w:t> </w:t>
      </w:r>
      <w:r xml:space="preserve">
        <w:t> </w:t>
      </w:r>
      <w:r>
        <w:t xml:space="preserve">unprofessional conduct in the practice of nursing that is likely to deceive, defraud, or injure a patient or the public;</w:t>
      </w:r>
    </w:p>
    <w:p w:rsidR="003F3435" w:rsidRDefault="0032493E">
      <w:pPr>
        <w:spacing w:line="480" w:lineRule="auto"/>
        <w:ind w:firstLine="1440"/>
        <w:jc w:val="both"/>
      </w:pPr>
      <w:r>
        <w:t xml:space="preserve">(11)</w:t>
      </w:r>
      <w:r xml:space="preserve">
        <w:t> </w:t>
      </w:r>
      <w:r xml:space="preserve">
        <w:t> </w:t>
      </w:r>
      <w:r>
        <w:t xml:space="preserve">adjudication of mental incompetency;</w:t>
      </w:r>
    </w:p>
    <w:p w:rsidR="003F3435" w:rsidRDefault="0032493E">
      <w:pPr>
        <w:spacing w:line="480" w:lineRule="auto"/>
        <w:ind w:firstLine="1440"/>
        <w:jc w:val="both"/>
      </w:pPr>
      <w:r>
        <w:t xml:space="preserve">(12)</w:t>
      </w:r>
      <w:r xml:space="preserve">
        <w:t> </w:t>
      </w:r>
      <w:r xml:space="preserve">
        <w:t> </w:t>
      </w:r>
      <w:r>
        <w:t xml:space="preserve">lack of fitness to practice because of a mental or physical health condition that could result in injury to a patient or the public;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rPr>
          <w:u w:val="single"/>
        </w:rPr>
        <w:t xml:space="preserve">performing or delegating to another individual the performance of a pelvic examination on an anesthetized or unconscious patient in violation of Section 167A.002, Health and Safety Code; or</w:t>
      </w:r>
      <w:r>
        <w:t xml:space="preserve"> </w:t>
      </w:r>
    </w:p>
    <w:p w:rsidR="003F3435" w:rsidRDefault="0032493E">
      <w:pPr>
        <w:spacing w:line="480" w:lineRule="auto"/>
        <w:ind w:firstLine="1440"/>
        <w:jc w:val="both"/>
      </w:pPr>
      <w:r>
        <w:rPr>
          <w:u w:val="single"/>
        </w:rPr>
        <w:t xml:space="preserve">(14)</w:t>
      </w:r>
      <w:r xml:space="preserve">
        <w:t> </w:t>
      </w:r>
      <w:r xml:space="preserve">
        <w:t> </w:t>
      </w:r>
      <w:r>
        <w:t xml:space="preserve">failure to care adequately for a patient or to conform to the minimum standards of acceptable nursing practice in a manner that, in the board's opinion, exposes a patient or other person unnecessarily to risk of harm.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pelvic examination performed on or after the effective date of this Act.  A pelvic examination performed before the effective date of this Act is governed by the law in effect when the pelvic examination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