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87R3527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Gates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of certain lump-sum benefits  by the Employees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814.011,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814.011.</w:t>
      </w:r>
      <w:r xml:space="preserve">
        <w:t> </w:t>
      </w:r>
      <w:r xml:space="preserve">
        <w:t> </w:t>
      </w:r>
      <w:r>
        <w:t xml:space="preserve">LUMP-SUM PAYMENTS IN LIEU OF ANNUITIES. </w:t>
      </w:r>
      <w:r>
        <w:rPr>
          <w:u w:val="single"/>
        </w:rPr>
        <w:t xml:space="preserve">(a)</w:t>
      </w:r>
      <w:r>
        <w:t xml:space="preserve"> The retirement system may elect to make a lump-sum payment to a retiree or beneficiary in lieu of annuity payments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actuarial present value of the annuity at the time of retirement or death does not exceed $20,000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of the election: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retiree or beneficiary, as applicable, agrees to payment in an amount that is less than the actuarial present value of the annuity;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making the payment will result in a reduction in the unfunded actuarial liabilities of the retirement system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Payment of a lump sum under this section does not affect eligibility for any other program administered by the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814.1082, Government Code, is amended by amending Subsections (b) and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amount of the lump-sum distribution under this section may not exceed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sum of 36 months of a standard service retirement annuity computed without regard to this section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another sum that the board of trustees determines is appropriate and will result in a reduction in the unfunded actuarial liabilities of the retirement system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If a member selects a lump-sum distribution described by Subsection (b)(1), the</w:t>
      </w:r>
      <w:r>
        <w:t xml:space="preserve"> [</w:t>
      </w:r>
      <w:r>
        <w:rPr>
          <w:strike/>
        </w:rPr>
        <w:t xml:space="preserve">The</w:t>
      </w:r>
      <w:r>
        <w:t xml:space="preserve">] service retirement annuity selected by the member shall be actuarially reduced to reflect the lump-sum option selected by the member and shall be actuarially equivalent to a standard or optional service retirement annuity, as applicable, without the partial lump-sum distribution. The annuity and lump sum shall be computed to result in no actuarial loss to the retirement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member selects a lump-sum distribution described by Subsection (b)(2), the service retirement annuity selected by the member shall be actuarially reduced by an amount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greater than the actuarial equivalent of the lump-sum option selected by the member;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agreed to by the member after receiving written notice under Subsection (g).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