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87R5922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1442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training on trauma affected veterans for certain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1701.351, Occupations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last day of the first full continuing education training period that begins after the date a peace officer completes four cumulative years of service as a peace officer, the officer shall complete, in addition to the other training required by this section, the training program established under Section 1701.265.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 in law made by this Act applies to a peace officer licensed under Chapter 1701, Occupations Code, regardless of whether the license was issued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Notwithstanding Section 1701.351(e), Occupations Code, as added by this Act, a peace officer who on the effective date of this Act has four or more cumulative years of service shall complete the training program established under Section 1701.265, Occupations Code, not later than the last day of the first full continuing education training period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