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87R1644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expiration of the health care provider participation program administered and operated by the Nueces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298C.004, Health and Safety Code, as added by Chapter 694 (S.B. 2315),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2, Chapter 694 (S.B. 2315),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