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87R4504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1466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opportunity to correct a defect in an early voting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OPPORTUNITY TO CORRECT DEFECT: 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ballot under Section 87.027, the signature verification committee shall immediately contact the voter or witness, as appropriate, to advise the voter or witness of the defect and provide an opportunity to correct the defect.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if the signature verification committee determines that it would be impossible to correct the defect prior to the time the polls are required to close on election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chair of the signature verification committee may appoint two committee members to take the defective ballot to the address of the voter or witness, as appropriate, to provide the voter or witness with an opportunity to correct the defect.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possible, of the two members appointed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must be a member of the party that received the greatest number of votes in the most recent gubernatorial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must be a member of the party that received the second greatest number of votes in the most recent gubernatorial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ballot under Section 87.041, the early voting ballot board shall immediately contact the voter or witness, as appropriate, to advise the voter or witness of the defect and provide an opportunity to correct the defect.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if the early voting ballot board determines that it would be impossible to correct the defect prior to the time the polls are required to close on election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judge of the early voting ballot board may appoint two ballot board members to take the defective ballot to the address of the voter or witness, as appropriate, to provide the voter or witness with an opportunity to correct the defect.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possible, of the two members appointed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must be a member of the party that received the greatest number of votes in the most recent gubernatorial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must be a member of the party that received the second greatest number of votes in the most recent gubernatorial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