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87R5453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property owners' association annual meetings held electronically.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209.014(a),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provision in a dedicatory instrument, a board of a property owners' association shall call an annual meeting of the members of the association. </w:t>
      </w:r>
      <w:r>
        <w:t xml:space="preserve"> </w:t>
      </w:r>
      <w:r>
        <w:rPr>
          <w:u w:val="single"/>
        </w:rPr>
        <w:t xml:space="preserve">An annual meeting may be held by electronic or telephonic means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in attendance at the meeting may hear and be heard by every other person at the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of the meeting sent to members of the association includes instructions to access any communication method required to attend the meeting remotely.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