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curriculum and eligibility requirements for the provision of local remote learning to qualify for state funding and calculation of average daily attendance.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w:t>
      </w:r>
      <w:r>
        <w:t xml:space="preserve">ubchapter Z, Chapter 29, Education Code, is amended by adding Section 29.926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LOCAL REMOTE LEARNING.  (a)  A school district may develop procedures and curriculum to provide instruction through virtual courses or programs provided only to district students and that are not provided as part of the state virtual school network under Chapter 30A.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only be determined eligible for instruction by local remote learning under this section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admission to the district under Section 25.001(b) or is a child of an employee of the district and has been accepted as a transfer in accordance with local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the district at all times while participating in local remote learning;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as established by school district, to qualify for local remote learning.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affect the provision of instruction to a student located on the physical premises of a school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Virtual courses offered under this section are not subject to the requirements of Chapter 30A.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48.005(h), Education Code, is amended by adding Section 48.005(h-1) which reads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time that a student participates in local remote learning under Section 29.926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