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87R1646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1474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property as a historic landmark by a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211.0165, Local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municipality has more than one commission described by Subsection (a)(2)(B), the municipality shall designate one of those commissions as the entity with exclusive authority to approve the designations of properties as local historic landmarks under that paragraph.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211.0165(a-1), Local Government Code, as added by this Act, applies only to a process to designate  a property as a local historic landmark initiated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