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87R3055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board of adjustment zoning variances based on unnecessary hardship.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211.009,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exercising its authority under Subsection (a)(3), the board may consider the following as grounds to determine whether compliance with the ordinance as applied to a structure that is the subject of the appeal would result in unnecessary hardship:</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cost of compliance is greater than 50 percent of the appraised value of the structure as shown on the most recent appraisal roll certified to the assessor for the municipality under Section 26.01,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would result in a loss to the lot on which the structure is located of at least 25 percent of the area on which development may physically occur;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compliance would result in the structure not being in compliance with a requirement of a municipal ordinance, building code, or other requirement;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compliance would result in the unreasonable encroachment on an adjacent property or easement;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municipality considers the structure to be a nonconforming structure.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211.009(b-1), Local Government Code, as added by this Act, applies only to an appeal filed with a municipal board of adjustment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