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vendor's remedies for nonpayment of a contract with this state or a political subdivision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2251.042,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governmental entity shall notify a vendor of an error </w:t>
      </w:r>
      <w:r>
        <w:rPr>
          <w:u w:val="single"/>
        </w:rPr>
        <w:t xml:space="preserve">or disputed amount</w:t>
      </w:r>
      <w:r>
        <w:t xml:space="preserve"> in an invoice submitted for payment by the vendor not later than the 21st day after the date the entity receives the invoice</w:t>
      </w:r>
      <w:r>
        <w:rPr>
          <w:u w:val="single"/>
        </w:rPr>
        <w:t xml:space="preserve">, and shall include in such notice a detailed statement of the amount of the invoice which is disputed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governmental entity may withhold from payments required no more than 110 percent of the disputed amount.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2251.042, Government Code, as amended by this Act, applies only to a contract entered into on or after the effective date of this Act.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1476 was passed by the House on May 11, 2021,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1476 was passed by the Senate on May 24, 2021,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