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87R5600 YDB-F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Leach, Cyrier,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Romero, Jr., Raymond,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performance and payment bonds for public work contracts on public property leased to a nongovernmental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2253.001(3) and (4), Government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"Prime contractor" means a person, firm, or corporation that makes a public work contract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governmental entity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leases any public property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"Public work contract" means a contract for constructing, altering, or repairing a public building or carrying out or completing any public work</w:t>
      </w:r>
      <w:r>
        <w:rPr>
          <w:u w:val="single"/>
        </w:rPr>
        <w:t xml:space="preserve">, including work performed on property owned by a governmental entity or on public property leased by the governmental entity to a nongovernmental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governmental entity that makes a public work contract with a prime contractor </w:t>
      </w:r>
      <w:r>
        <w:rPr>
          <w:u w:val="single"/>
        </w:rPr>
        <w:t xml:space="preserve">or authorizes a nongovernmental entity leasing public property from the governmental entity to contract with a prime contractor</w:t>
      </w:r>
      <w:r>
        <w:t xml:space="preserve"> shall require the contractor, before beginning the work, to execute to the governmental entity: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performance bond if the contract is in excess of $100,000;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payment bond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contract is in excess of $25,000, and the governmental entity is not a municipality or a joint board created under Subchapter D, Chapter 22, Transportation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contract is in excess of $50,000, and the governmental entity is a municipality or a joint board created under Subchapter D, Chapter 22, Transportation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2253.024(a)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prime contractor, on the written request of a person who provides public work labor or material and when required by Subsection (c), shall provide to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the governmental entity </w:t>
      </w:r>
      <w:r>
        <w:rPr>
          <w:u w:val="single"/>
        </w:rPr>
        <w:t xml:space="preserve">or nongovernmental leasehold tenant</w:t>
      </w:r>
      <w:r>
        <w:t xml:space="preserve"> with whom the prime contractor contracted for the public work;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copy of the payment and performance bonds for the public work, including bonds furnished by or to the prime contractor;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of the surety issuing the payment bond and the performance bond and the toll-free telephone number maintained by the Texas Department of Insurance under Subchapter B, Chapter 521, Insurance Code, for obtaining information concerning licensed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subcontractor, on the written request of a governmental entity, </w:t>
      </w:r>
      <w:r>
        <w:rPr>
          <w:u w:val="single"/>
        </w:rPr>
        <w:t xml:space="preserve">a nongovernmental leasehold tenant with whom the prime contractor contracted,</w:t>
      </w:r>
      <w:r>
        <w:t xml:space="preserve"> the prime contractor, a surety on a bond that covers the public work contract, or a person providing work under the subcontract and when required by Subsection (c), shall provide to the person requesting the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each person from whom the subcontractor purchased public work labor or material, other than public work material from the subcontractor's inventory;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and last known address of each person to whom the subcontractor provided public work labor or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of whether the subcontractor furnished a bond for the benefit of its subcontractors and materialmen;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name and last known address of the surety on the bond the subcontractor furnished;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copy of that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2253.071(a),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proceeds of a public work contract are not payable, until all costs of completion of the contract work are paid by the contractor or the contractor's surety, to a contractor who furnishes a bond required by this chapter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contractor abandons performance of the contract;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contractor's right to proceed with performance of the contract is lawfully terminated by the awarding governmental entity </w:t>
      </w:r>
      <w:r>
        <w:rPr>
          <w:u w:val="single"/>
        </w:rPr>
        <w:t xml:space="preserve">or nongovernmental entity leasing public property from the governmental entity</w:t>
      </w:r>
      <w:r>
        <w:t xml:space="preserve"> because of the contractor's default.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public work contract or construction project for which a governmental entity or a nongovernmental entity leasing public property from the governmental entity first advertises or otherwise requests bids, proposals, offers, or qualifications, or makes a similar solicitation,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