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87R3765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charging exorbitant or excessive prices for certain agricultural goods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17.4625, Business &amp; Commerce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17.46(b)(27), the price of a meat food product or a poultry product, as those terms are defined by Section 433.003, Health and Safety Code, or an egg, as defined by Section 132.001, Agriculture Code, that is sold or offered for sale by a grower, producer, or processor of the product or egg is not considered exorbitant or excessive if the price for the product or egg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price;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 of a price formula;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based on a pricing index.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 or practice that occurs on or after the effective date of this Act.  An act or practice that occurs before the effective date of this Act is governed by the law in effect on the date the act or practice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