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w:t>
      </w:r>
      <w:r>
        <w:rPr>
          <w:u w:val="single"/>
        </w:rPr>
        <w:t xml:space="preserve"> </w:t>
      </w:r>
      <w:r>
        <w:rPr>
          <w:u w:val="single"/>
        </w:rPr>
        <w:t xml:space="preserve">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Except as provided by Subsection (b),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exerts unauthorized control over any equipment, animals, or crops of an animal or crop facility for the purpose of depriving the owner or operator of the facility or the facility of materials, equipment, animals, or crops;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RESTITUTION.  (a)  The court may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