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Dean, Frank, Gates,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cash price of certain health care services by certain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311, Health and Safety Code, is amended by adding Section 311.0015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CASH PRICE.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"hospital" means a hospital: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under Chapter 241;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or operated by this state or an agency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shall disclose the hospital's cash price for each health care service regularly provided by the hospital. </w:t>
      </w:r>
      <w:r>
        <w:rPr>
          <w:u w:val="single"/>
        </w:rPr>
        <w:t xml:space="preserve"> </w:t>
      </w:r>
      <w:r>
        <w:rPr>
          <w:u w:val="single"/>
        </w:rPr>
        <w:t xml:space="preserve">The required disclosure must be made by conspicuously posting the prices on the hospital's publicly accessible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