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87R895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entity responsible for the local share of qualified project costs under the ship channel improvement revolving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56.003, Transportation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entity responsible for the local share of qualified project costs under Subsection (a) must 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navigation district created under Section 52, Article III, or Section 59, Article XVI, Texas Constitution, and operating under Chapter 60, 61, 62, or 63, Water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or board of trustees under Chapter 54.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56.001(3),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