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87R16890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Moody, Burrows, Paddie, Hefner,</w:t>
      </w:r>
      <w:r xml:space="preserve">
        <w:tab wTab="150" tlc="none" cTlc="0"/>
      </w:r>
      <w:r>
        <w:t xml:space="preserve">H.B.</w:t>
      </w:r>
      <w:r xml:space="preserve">
        <w:t> </w:t>
      </w:r>
      <w:r>
        <w:t xml:space="preserve">No.</w:t>
      </w:r>
      <w:r xml:space="preserve">
        <w:t> </w:t>
      </w:r>
      <w:r>
        <w:t xml:space="preserve">1510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1510: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response and resilience of certain electricity service providers to major weather-related events or other natural disasters;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LOWER-COST FINANCING MECHANISM FOR 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36.451.</w:t>
      </w:r>
      <w:r>
        <w:rPr>
          <w:u w:val="single"/>
        </w:rPr>
        <w:t xml:space="preserve"> </w:t>
      </w:r>
      <w:r>
        <w:rPr>
          <w:u w:val="single"/>
        </w:rPr>
        <w:t xml:space="preserve"> </w:t>
      </w:r>
      <w:r>
        <w:rPr>
          <w:u w:val="single"/>
        </w:rPr>
        <w:t xml:space="preserve">PURPOSE AND APPLICABILITY.  (a) Except as otherwise specifically provided by this subchapter, the same procedures, standards, and protections for securitization authorized by Subchapter I of this chapter and, to the extent made applicable to Subchapter I of this chapter, by Subchapter G, Chapter 39, apply to the lower-cost financing mechanism for securitization of transition costs or system restoration costs as provided by Subchapter I. To the extent of any conflict between the provisions of this subchapter and Subchapter I of this chapter or, to the extent made applicable by Subchapter I of this chapter,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lower-cost, supplemental financing mechanism to allow an electric utility operating solely outside of ERCOT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under this subchapter is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is created under this subchapter as a special purpose public corporation and instrumentality of the state for the essential public purpose of providing a lower-cost, supplemental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approving securitization under this subchapter, the commission shall ensure that customers are not harmed as a result of any financing through the Texas Electric Utility System Restoration Corporation and that any financial savings or other benefits are appropriately reflected in customer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under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subchapter does not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electric utility receiving the proceeds of securitization financing under this subchapter is not required to provide utility services to the corporation or the state as a result of receiving such proceeds except in the role of the corporation or the state as a customer of the electric utility. This subchapter does not create an obligation of the corporation or an issuer to provide electric services to the electric utility or its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36.452.</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system restoration bonds approved by a financing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"qualified costs," as defined by Section 39.302 and as used in Subchapter G, Chapter 39, also includes all costs of establishing, maintaining, and operating the corporation and all costs of the corporation and an issuer in connection with the issuance and servicing of the system restoration bonds, all as approved in the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specifically provided by this subchapter, any defined terms provided by Subchapter I of this chapter and, if made applicable by Subchapter I of this chapter,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36.453.</w:t>
      </w:r>
      <w:r>
        <w:rPr>
          <w:u w:val="single"/>
        </w:rPr>
        <w:t xml:space="preserve"> </w:t>
      </w:r>
      <w:r>
        <w:rPr>
          <w:u w:val="single"/>
        </w:rPr>
        <w:t xml:space="preserve"> </w:t>
      </w:r>
      <w:r>
        <w:rPr>
          <w:u w:val="single"/>
        </w:rPr>
        <w:t xml:space="preserve">CREATION OF CORPORATION.  (a) The corporation is a nonprofit corporation and instrumentality of the state, and shall perform the essential governmental function of financing system restoration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transition charges or system restoration charges,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transition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in this subchapter and those ancillary and incidental thereto. The corporation or an issuer may not apply proceeds of system restoration bonds or system restoration charges to a purpose not specified in a financing order, to a purpose in an amount that exceeds the amount allowed for such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transition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transition property and to pledge such transition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system restoration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system restoration bonds;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transition property to another issuer, which may in turn pledge that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that transition property to the repayment of any borrowing from an issuer, together with any related qualified costs, all on terms and conditions consistent with a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collects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system restoration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system restoration bonds, including any obligation to an issuer of any system restoration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36.455.</w:t>
      </w:r>
      <w:r>
        <w:rPr>
          <w:u w:val="single"/>
        </w:rPr>
        <w:t xml:space="preserve"> </w:t>
      </w:r>
      <w:r>
        <w:rPr>
          <w:u w:val="single"/>
        </w:rPr>
        <w:t xml:space="preserve"> </w:t>
      </w:r>
      <w:r>
        <w:rPr>
          <w:u w:val="single"/>
        </w:rPr>
        <w:t xml:space="preserve">COMMISSION REGULATION OF CORPORATION.  The commission shall regulate the corporation as provided by this subchapter and consistent with the manner in which it regulates public utilities. 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Subchapter I of this chapter and, to the extent made applicable to Subchapter I of this chapter, Subchapter G, Chapter 39, that address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relevant electric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Subchapter I, as applicable,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transition property created by the financing order in the manner contemplated by Section 39.308, and, following that sale, assignment, or transfer, require that system restoration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specified transition property, and the application of the proceeds of those system restoration bonds, net of issuance costs, to the acquisition of the transition property from the electric utility;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system restoration bonds, net of issuance costs, secured by a pledge of the specified transition property;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transition property financed from the net proceeds of transition bonds issued by the issuer;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No assets of the state or electric utility are subject to claims by such bondholders. Notwithstanding the provisions of Subchapter G, Chapter 39, following assignment of the transition property, the electric utility does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36.457.</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of this chapter, as that subchapter applies to this subchapter, Subchapter G, Chapter 39, as that subchapter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 in areas outside the ERCOT power region</w:t>
      </w:r>
      <w:r>
        <w:t xml:space="preserve">; and</w:t>
      </w:r>
    </w:p>
    <w:p w:rsidR="003F3435" w:rsidRDefault="0032493E">
      <w:pPr>
        <w:spacing w:line="480" w:lineRule="auto"/>
        <w:ind w:firstLine="2160"/>
        <w:jc w:val="both"/>
      </w:pPr>
      <w:r>
        <w:t xml:space="preserve">(F)</w:t>
      </w:r>
      <w:r xml:space="preserve">
        <w:t> </w:t>
      </w:r>
      <w:r xml:space="preserve">
        <w:t> </w:t>
      </w:r>
      <w:r>
        <w:t xml:space="preserve">to the extent applicable, the effect of granting the certificate on the ability of this state to meet the goal established by Section 39.904(a)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37.058, Utilities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an electric utility operating solely outside of the ERCOT power region may, but shall not be required to, obtain a certificate to install, own, or operate a generation facility with a capacity of 10 megawatts or less.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