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w:t>
      </w:r>
      <w:r xml:space="preserve">
        <w:tab wTab="150" tlc="none" cTlc="0"/>
      </w:r>
      <w:r>
        <w:t xml:space="preserve">H.B.</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including abortions after detection of an unborn child's heartbeat; authorizing a private civil right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(a)  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Section 171.204 does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  The requirements of this subchapter shall be enforced exclusively through the private civil enforcement actions described in section 171.208.  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if the defendant demonstrates that the defendant previously paid statutory damages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 a person sued under Subsection (a)(2) reasonably believed, after conducting a reasonable investigation, that the physician performing or inducing the abortion had complied or would comply with this chapter.  The defendant has the burden of proving the affirmative defense under this subsection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UNDUE BURDEN DEFENSE LIMITATIONS.  (a)  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an abortion provider, an employee of an abortion provider, or a physician who performs abortions.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an identifiable woman or an identifiable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an identifiable woman or an identifiable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 </w:t>
      </w:r>
      <w:r>
        <w:rPr>
          <w:u w:val="single"/>
          <w:i/>
        </w:rPr>
        <w:t>Roe v. Wade</w:t>
      </w:r>
      <w:r>
        <w:rPr>
          <w:u w:val="single"/>
        </w:rPr>
        <w:t xml:space="preserve">, 410 U.S. 113 (1973) or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VENUE.  Notwithstanding any other law, including Section 15.002, Civil Practice and Remedies Code, a civil action brought under Section 171.211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chapter shall be severed from any applications that a court finds to be invalid, leaving the valid applications in force, because it is the legislature's intent and priority that the valid applications be allowed to stand alone.  Even if a reviewing court finds a provision of this chapter to impose an undue burden in a large or substantial fraction of relevant cases, the applications that do not present an undue burden shall be severed from the remaining provisions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federal or state court declares unconstitutional or enjoins the enforcement of a provision in this chapter and fails to enforce the severability requirements of Subsections (a), (b), (c), (d), and (e),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that enforce the requirements described by this chapter to the maximum possible extent while avoiding the constitutional problems or other problems identified by the federal or state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notice of those rules, not later than the 30th day after the date of the court ruling.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executive commissioner fails to adopt the rules and issue notice under Subsection (f), a person may petition for a writ of mandamus requiring the executive commissioner to adopt the rules and issue notice.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(a)  Notwithstanding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constitutional rights of women seeking abortions shall be severed from the unconstitutional applications and shall remain enforceable, notwithstanding any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171.012, Health and Safety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a fetal heartbeat is detected under Section 171.203, the physician who is to perform or induce the abortion informs the woman in writing of the statistical probability of bringing the unborn child to term: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best of the physician's knowledge, based on the gestational age of the unborn child;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provided by commission rule;</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jc w:val="both"/>
      </w:pPr>
      <w:r>
        <w:t xml:space="preserve">___</w:t>
      </w:r>
      <w:r xml:space="preserve">
        <w:t> </w:t>
      </w:r>
      <w:r>
        <w:t xml:space="preserve">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may adopt rules that specify the information required under Subsection (a)(4)(E) regarding the statistical probability of bringing an unborn child to term based on the gestational age of the child.  The information in the rules must be based on available medical evidence.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whether the physician made a determination of the presence of a fetal heartbeat in accordance with Section 171.203;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physician performed or induced the abortion under circumstances described by Section 171.205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Every provision in this Act and every application of the provision in this Act are severable from each other.  If any provision or application of any provision in this Act to any person, group of persons, or circumstance is held by a court to be invalid, the invalidity does not affect the other provisions or applications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