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1526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cemeteries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(a) and adding Subsection (g-2)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(f), (g), (g-1), </w:t>
      </w:r>
      <w:r>
        <w:rPr>
          <w:u w:val="single"/>
        </w:rPr>
        <w:t xml:space="preserve">(g-2),</w:t>
      </w:r>
      <w:r>
        <w:t xml:space="preserve"> (h), and (k),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Not later than December 1, 2022, an individual, corporation, partnership, firm, trust, or association may file a written application with the governing body of a municipality to establish or use a cemetery located inside the legal boundaries of the municipality.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 </w:t>
      </w:r>
      <w:r>
        <w:rPr>
          <w:u w:val="single"/>
        </w:rPr>
        <w:t xml:space="preserve"> </w:t>
      </w:r>
      <w:r>
        <w:rPr>
          <w:u w:val="single"/>
        </w:rPr>
        <w:t xml:space="preserve">This subsection applies only to a municipality that has a population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55,000 and not more than 60,000 and that is located in two counties, each of which has a population of less than 132,000;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24,000 and not more than 26,000 and that is the county seat of a county that has a population of at least 130,000 and not more than 135,000.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