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87R6348 JTS-D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Reynolds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1531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regulation by certain counties of roadside or parking lot vendors and solicitors.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285.001(a),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To promote the public safety, the commissioners court of a county with a population of more than 1.3 million </w:t>
      </w:r>
      <w:r>
        <w:rPr>
          <w:u w:val="single"/>
        </w:rPr>
        <w:t xml:space="preserve">and a county with a population of more than 700,000 that is adjacent to a county with a population of more than four million</w:t>
      </w:r>
      <w:r>
        <w:t xml:space="preserve"> by order may regulate the following in the unincorporated area of the county if they occur on a public highway or road, in the right-of-way of a public highway or road, or in a parking lot: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sale of items by a vendor of food or merchandise, including live animals;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erection, maintenance, or placement of a structure by a vendor of food or merchandise, including live animals;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solicitation of money.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1531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