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87R5073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electronic voter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13.002, Election Code, is amended by amending Subsection (a) and adding Subsection (e-1)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desiring to register to vote must submit an application to the registrar of the county in which the person resides.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(e) </w:t>
      </w:r>
      <w:r>
        <w:rPr>
          <w:u w:val="single"/>
        </w:rPr>
        <w:t xml:space="preserve">and (e-1)</w:t>
      </w:r>
      <w:r>
        <w:t xml:space="preserve">, an application must be submitted by personal delivery, by mail, or by telephonic facsimile machine in accordance with Sections 13.143(d) and (d-2).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registrar shall adopt procedures to allow a person to complete a voter registration application over the Internet.  The secretary of state shall review any procedures adopted under this section to ensure the procedures comply with the provisions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voter registrar of a county must adopt procedures for the acceptance of voter registration applications under Section 13.002(e-1), Election Code, as added by this Act, not later than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