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87R4654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retirees of the Teacher Retirement System of Texas who resume certain employment with a school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825.4092(e),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amounts required to be paid under Subsections (b) and (c) are not required to be paid by a reporting employer for a retiree who retired from the retirement system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 before September 1, 2005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or after September 1, 2005, if the retiree is employed as a bus driver by a school district on as much as a full-time basis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retiree of the Teacher Retirement System of Texas regardless of whether the person retired from employment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