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entrance examinations for applicants for beginning positions in fire and police departments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143.025, Local Government Code, is amended by adding Subsection (f-1) and amending Subsection (i)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municipality with a population of more than 1.3 million and less than 2 million, an additional five points shall be added to the examination grade of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municipality in which the applicant seeks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resided in the municipality continuously for at least one year before taking the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receives a passing grade on the examination.</w:t>
      </w:r>
    </w:p>
    <w:p w:rsidR="003F3435" w:rsidRDefault="0032493E">
      <w:pPr>
        <w:spacing w:line="480" w:lineRule="auto"/>
        <w:ind w:firstLine="720"/>
        <w:jc w:val="both"/>
      </w:pPr>
      <w:r>
        <w:t xml:space="preserve">(i)</w:t>
      </w:r>
      <w:r xml:space="preserve">
        <w:t> </w:t>
      </w:r>
      <w:r xml:space="preserve">
        <w:t> </w:t>
      </w:r>
      <w:r>
        <w:t xml:space="preserve">The grade to be placed on the eligibility list for each applicant shall be computed by adding an applicant's points under </w:t>
      </w:r>
      <w:r>
        <w:rPr>
          <w:u w:val="single"/>
        </w:rPr>
        <w:t xml:space="preserve">Subsections</w:t>
      </w:r>
      <w:r>
        <w:t xml:space="preserve"> [</w:t>
      </w:r>
      <w:r>
        <w:rPr>
          <w:strike/>
        </w:rPr>
        <w:t xml:space="preserve">Subsection</w:t>
      </w:r>
      <w:r>
        <w:t xml:space="preserve">] (f) </w:t>
      </w:r>
      <w:r>
        <w:rPr>
          <w:u w:val="single"/>
        </w:rPr>
        <w:t xml:space="preserve">and (f-1)</w:t>
      </w:r>
      <w:r>
        <w:t xml:space="preserve">, if any, to the applicant's grade on the written examination. Each applicant's grade on the written examination is based on a maximum grade of 100 percent and is determined entirely by the correctness of the applicant's answers to the questions. The minimum passing grade on the examination is 70 percent. An applicant must pass the examination to be placed on an eligibility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143.025, Local Government Code, as amended by this Act, applies only to an examination administered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