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87R5226 SGM-F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disclosure of information in department files of fire fighters or police officers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143.089, Local Government Code, is amended by amending Subsection (g) and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fire or police department may maintain a personnel file on a fire fighter or police officer employed by the department for the department's use</w:t>
      </w:r>
      <w:r>
        <w:rPr>
          <w:u w:val="single"/>
        </w:rPr>
        <w:t xml:space="preserve">.  The information contained in the department file is public information subject to disclosure under Chapter 552, Government Code, unless the information is made confidential under that chapter or other law</w:t>
      </w:r>
      <w:r>
        <w:t xml:space="preserve"> [</w:t>
      </w:r>
      <w:r>
        <w:rPr>
          <w:strike/>
        </w:rPr>
        <w:t xml:space="preserve">, but the department may not release any information contained in the department file to any agency or person requesting information relating to a fire fighter or police officer.  The department shall refer to the director or the director's designee a person or agency that requests information that is maintained in the fire fighter's or police officer's personnel file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the department responds to a request for public information under Subsection (g), the department shall provide the fire fighter or police officer with a copy of the request and written notice of the department's intent to comply with the request.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