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rental and operation of electric generation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 Utilities Code, is amended by adding Subdivision (4-b) and amending Subdivision (6) to read as follows:</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"Electric generation equipment lessor or operator" means a person who rents to or operates for compensation on behalf of a third party electric generation equipment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on a site of the third party until the third party is able to obtain sufficient electricity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produces electricity on site to be consumed by the third party and not resold;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interconnect with the electric transmission or distribution system.</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C, Chapter 184,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an electric generation equipment lessor or operator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The term does not include a corporation described by Section 32.053 to the extent that the corporation sells electricity exclusively at wholesale and not to the ultimate consumer. A qualifying cogenerator that sells electric energy at retail to the sole purchaser of the cogenerator's thermal output under Sections 35.061 and 36.007 is not for that reason considered to be a retail electric utility. 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rPr>
          <w:u w:val="single"/>
        </w:rPr>
        <w:t xml:space="preserve">A person who is an electric generation equipment lessor or operator is not for that reason considered to be a retail electric utility.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1572 was passed by the House on April 20,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1572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