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87R5862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signs posted under the memorial sign program for victims of certain vehicle accidents.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201.909(e), (f), and (g),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application meets the department's requirements and the applicant pays the memorial sign fee, the department shall erect a sign. A sign posted under this section may remain posted for </w:t>
      </w:r>
      <w:r>
        <w:rPr>
          <w:u w:val="single"/>
        </w:rPr>
        <w:t xml:space="preserve">ten</w:t>
      </w:r>
      <w:r>
        <w:t xml:space="preserve"> [</w:t>
      </w:r>
      <w:r>
        <w:rPr>
          <w:strike/>
        </w:rPr>
        <w:t xml:space="preserve">two</w:t>
      </w:r>
      <w:r>
        <w:t xml:space="preserve">] years. At the end of the </w:t>
      </w:r>
      <w:r>
        <w:rPr>
          <w:u w:val="single"/>
        </w:rPr>
        <w:t xml:space="preserve">ten-year</w:t>
      </w:r>
      <w:r>
        <w:t xml:space="preserve"> [</w:t>
      </w:r>
      <w:r>
        <w:rPr>
          <w:strike/>
        </w:rPr>
        <w:t xml:space="preserve">two-year</w:t>
      </w:r>
      <w:r>
        <w:t xml:space="preserve">] period the department may release the sign to the applicant. The department is not required to release a sign that has been damaged.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sign posted under this section that is damaged shall be removed by the department. Except as provided in Subsection (g), the department may post a new sign if it has been less than </w:t>
      </w:r>
      <w:r>
        <w:rPr>
          <w:u w:val="single"/>
        </w:rPr>
        <w:t xml:space="preserve">ten</w:t>
      </w:r>
      <w:r>
        <w:t xml:space="preserve"> [</w:t>
      </w:r>
      <w:r>
        <w:rPr>
          <w:strike/>
        </w:rPr>
        <w:t xml:space="preserve">two</w:t>
      </w:r>
      <w:r>
        <w:t xml:space="preserve">] years from the posting of the original sign and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a written request to the department to replace the sign;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submits a replacement fee in the amount provided under Subsection (d)(2).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During the </w:t>
      </w:r>
      <w:r>
        <w:rPr>
          <w:u w:val="single"/>
        </w:rPr>
        <w:t xml:space="preserve">ten-year</w:t>
      </w:r>
      <w:r>
        <w:t xml:space="preserve"> [</w:t>
      </w:r>
      <w:r>
        <w:rPr>
          <w:strike/>
        </w:rPr>
        <w:t xml:space="preserve">two-year</w:t>
      </w:r>
      <w:r>
        <w:t xml:space="preserve">] posting period the department shall replace a sign posted under this section that is damaged because of the department's negligence.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