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87R5565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1575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provisions applicable to state agencies subject to review by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325, Government Code, is amended by designating Sections 325.001 through 325.025 as Subchapter A and adding a subchapter heading to read as follows:</w:t>
      </w:r>
    </w:p>
    <w:p w:rsidR="003F3435" w:rsidRDefault="0032493E">
      <w:pPr>
        <w:spacing w:line="480" w:lineRule="auto"/>
        <w:jc w:val="center"/>
      </w:pPr>
      <w:r>
        <w:rPr>
          <w:u w:val="single"/>
        </w:rPr>
        <w:t xml:space="preserve">SUBCHAPTER A. SUNSET ADVISORY COMMISSION AND SUNSET REVIEW PROCESS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325, Government Code, is amended by adding Subchapter B to read as follows:</w:t>
      </w:r>
    </w:p>
    <w:p w:rsidR="003F3435" w:rsidRDefault="0032493E">
      <w:pPr>
        <w:spacing w:line="480" w:lineRule="auto"/>
        <w:jc w:val="center"/>
      </w:pPr>
      <w:r>
        <w:rPr>
          <w:u w:val="single"/>
        </w:rPr>
        <w:t xml:space="preserve">SUBCHAPTER B. GENERAL PROVISIONS FOR STATE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325.051.</w:t>
      </w:r>
      <w:r>
        <w:rPr>
          <w:u w:val="single"/>
        </w:rPr>
        <w:t xml:space="preserve"> </w:t>
      </w:r>
      <w:r>
        <w:rPr>
          <w:u w:val="single"/>
        </w:rPr>
        <w:t xml:space="preserve"> </w:t>
      </w:r>
      <w:r>
        <w:rPr>
          <w:u w:val="single"/>
        </w:rPr>
        <w:t xml:space="preserve">APPLICABILITY; CONFLICTS.  (a) </w:t>
      </w:r>
      <w:r>
        <w:rPr>
          <w:u w:val="single"/>
        </w:rPr>
        <w:t xml:space="preserve"> </w:t>
      </w:r>
      <w:r>
        <w:rPr>
          <w:u w:val="single"/>
        </w:rPr>
        <w:t xml:space="preserve">This subchapter applies to a state agency subject to review by the commission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any conflict between this subchapter and any law relating to a state agency subject to review by the commission under this chapter, this subchapter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325.052.</w:t>
      </w:r>
      <w:r>
        <w:rPr>
          <w:u w:val="single"/>
        </w:rPr>
        <w:t xml:space="preserve"> </w:t>
      </w:r>
      <w:r>
        <w:rPr>
          <w:u w:val="single"/>
        </w:rPr>
        <w:t xml:space="preserve"> </w:t>
      </w:r>
      <w:r>
        <w:rPr>
          <w:u w:val="single"/>
        </w:rPr>
        <w:t xml:space="preserve">PUBLIC MEMBERSHIP ON STATE AGENCY POLICYMAKING BODY.  A person may not be a public member of the policymaking body of a state agency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registered, certified, or licensed by a regulatory agency in a field regulated by the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employed by or participates in the management of a business entity or other organization regulated by or receiving money from the state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or controls, directly or indirectly, more than a 10 percent interest in a business entity or other organization regulated by or receiving money from the state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or receives a substantial amount of tangible goods, services, or money from the state agency other than compensation or reimbursement authorized by law for the state agency's policymaking body membership, attendance, or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325.053.</w:t>
      </w:r>
      <w:r>
        <w:rPr>
          <w:u w:val="single"/>
        </w:rPr>
        <w:t xml:space="preserve"> </w:t>
      </w:r>
      <w:r>
        <w:rPr>
          <w:u w:val="single"/>
        </w:rPr>
        <w:t xml:space="preserve"> </w:t>
      </w:r>
      <w:r>
        <w:rPr>
          <w:u w:val="single"/>
        </w:rPr>
        <w:t xml:space="preserve">PROVISIONS RELATING TO CONFLICTS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member of the policymaking body of a state agency and may not be an employee of the state agency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a field regulated by the state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a field regulated by the state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 member of a state agency's policymaking body or act as the general counsel to the state agency's policymaking body or the state agency if the person is required to register as a lobbyist under Chapter 305 because of the person's activities for compensation on behalf of a profession related to the operation of the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325.054.</w:t>
      </w:r>
      <w:r>
        <w:rPr>
          <w:u w:val="single"/>
        </w:rPr>
        <w:t xml:space="preserve"> </w:t>
      </w:r>
      <w:r>
        <w:rPr>
          <w:u w:val="single"/>
        </w:rPr>
        <w:t xml:space="preserve"> </w:t>
      </w:r>
      <w:r>
        <w:rPr>
          <w:u w:val="single"/>
        </w:rPr>
        <w:t xml:space="preserve">GOVERNOR DESIGNATES PRESIDING OFFICER.  The governor shall designate a member of a state agency's policymaking body as the presiding officer of the policymaking body to serve in that capacity at the pleasure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325.055.</w:t>
      </w:r>
      <w:r>
        <w:rPr>
          <w:u w:val="single"/>
        </w:rPr>
        <w:t xml:space="preserve"> </w:t>
      </w:r>
      <w:r>
        <w:rPr>
          <w:u w:val="single"/>
        </w:rPr>
        <w:t xml:space="preserve"> </w:t>
      </w:r>
      <w:r>
        <w:rPr>
          <w:u w:val="single"/>
        </w:rPr>
        <w:t xml:space="preserve">GROUNDS FOR REMOVAL OF MEMBERS FROM POLICYMAKING BODIES.  (a)  It is a ground for removal from a state agency's policymaking body that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law to be a member of the policymaking body;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policymaking body the qualifications required by law to be a member of the policymaking body;</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membership on the policymaking body under law, including provisions relating to public membership, conflicts of interest, and lobbying;</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meetings of the policymaking body that the member is eligible to attend during a calendar year without an excuse approved by a majority vote of the policymaking body.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a state agency's policymaking body is not affected by the fact that it is taken when a ground for removal of a member of the policymaking body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head of a state agency has knowledge that a potential ground for removal exists, the executive head shall notify the presiding officer of the state agency's policymaking body of the potential ground.  The presiding officer shall then notify the governor and the attorney general that a potential ground for removal exists.  If the potential ground for removal involves the presiding officer, the executive head shall notify the next highest ranking officer of the policymaking body, who shall then notify the governor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325.056.</w:t>
      </w:r>
      <w:r>
        <w:rPr>
          <w:u w:val="single"/>
        </w:rPr>
        <w:t xml:space="preserve"> </w:t>
      </w:r>
      <w:r>
        <w:rPr>
          <w:u w:val="single"/>
        </w:rPr>
        <w:t xml:space="preserve"> </w:t>
      </w:r>
      <w:r>
        <w:rPr>
          <w:u w:val="single"/>
        </w:rPr>
        <w:t xml:space="preserve">TRAINING FOR MEMBERS OF POLICYMAKING BODIES.  (a)  A person who is appointed to and qualifies for office as a member of the policymaking body of a state agency may not vote, deliberate, or be counted as a member in attendance at a meeting of the policymaking body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the state agency's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state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policymaking body;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state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agency policymaking body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state agency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state agency's policymaking body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head of the state agency shall create a training manual that includes the information required by Subsection (b).  The executive head shall distribute a copy of the training manual annually to each member of the policymaking body.  Each member of the policymaking body shall sign and submit to the executive head a statement acknowledging that the member received and reviewed the training manual.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325.057.</w:t>
      </w:r>
      <w:r>
        <w:rPr>
          <w:u w:val="single"/>
        </w:rPr>
        <w:t xml:space="preserve"> </w:t>
      </w:r>
      <w:r>
        <w:rPr>
          <w:u w:val="single"/>
        </w:rPr>
        <w:t xml:space="preserve"> </w:t>
      </w:r>
      <w:r>
        <w:rPr>
          <w:u w:val="single"/>
        </w:rPr>
        <w:t xml:space="preserve">POLICIES TO SEPARATE POLICYMAKING AND STAFF FUNCTIONS.  The policymaking body of a state agency shall develop and implement policies that clearly separate the policymaking responsibilities of the policymaking body and the management responsibilities of the executive head and the staff of the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325.058.</w:t>
      </w:r>
      <w:r>
        <w:rPr>
          <w:u w:val="single"/>
        </w:rPr>
        <w:t xml:space="preserve"> </w:t>
      </w:r>
      <w:r>
        <w:rPr>
          <w:u w:val="single"/>
        </w:rPr>
        <w:t xml:space="preserve"> </w:t>
      </w:r>
      <w:r>
        <w:rPr>
          <w:u w:val="single"/>
        </w:rPr>
        <w:t xml:space="preserve">PUBLIC TESTIMONY AT MEETINGS OF POLICYMAKING BODIES.  The policymaking body of a state agency shall develop and implement policies that provide the public with a reasonable opportunity to appear before the policymaking body and to speak on any issue under the jurisdiction of the state agency.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325.059.</w:t>
      </w:r>
      <w:r>
        <w:rPr>
          <w:u w:val="single"/>
        </w:rPr>
        <w:t xml:space="preserve"> </w:t>
      </w:r>
      <w:r>
        <w:rPr>
          <w:u w:val="single"/>
        </w:rPr>
        <w:t xml:space="preserve"> </w:t>
      </w:r>
      <w:r>
        <w:rPr>
          <w:u w:val="single"/>
        </w:rPr>
        <w:t xml:space="preserve">COMPLAINT INFORMATION REQUIREMENTS.  (a)  A state agency shall maintain a system to promptly and efficiently act on complaints filed with the state agency.  The state agency shall maintain information about parties to and the</w:t>
      </w:r>
      <w:r>
        <w:rPr>
          <w:u w:val="single"/>
        </w:rPr>
        <w:t xml:space="preserve"> </w:t>
      </w:r>
      <w:r>
        <w:rPr>
          <w:u w:val="single"/>
        </w:rPr>
        <w:t xml:space="preserve">subject matter of</w:t>
      </w:r>
      <w:r>
        <w:rPr>
          <w:u w:val="single"/>
        </w:rPr>
        <w:t xml:space="preserve"> </w:t>
      </w:r>
      <w:r>
        <w:rPr>
          <w:u w:val="single"/>
        </w:rPr>
        <w:t xml:space="preserve">the complaint and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agency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agency shall periodically notify the complaint parties of the status of the complaint until final disposition unless the notice would jeopardize the investigation.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