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87R9909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Capriglione, Bucy, Button,</w:t>
      </w:r>
      <w:r xml:space="preserve">
        <w:tab wTab="150" tlc="none" cTlc="0"/>
      </w:r>
      <w:r>
        <w:t xml:space="preserve">H.B.</w:t>
      </w:r>
      <w:r xml:space="preserve">
        <w:t> </w:t>
      </w:r>
      <w:r>
        <w:t xml:space="preserve">No.</w:t>
      </w:r>
      <w:r xml:space="preserve">
        <w:t> </w:t>
      </w:r>
      <w:r>
        <w:t xml:space="preserve">1576</w:t>
      </w:r>
    </w:p>
    <w:p w:rsidR="003F3435" w:rsidRDefault="0032493E">
      <w:pPr>
        <w:jc w:val="both"/>
      </w:pPr>
      <w:r xml:space="preserve">
        <w:t> </w:t>
      </w:r>
      <w:r xml:space="preserve">
        <w:t> </w:t>
      </w:r>
      <w:r xml:space="preserve">
        <w:t> </w:t>
      </w:r>
      <w:r xml:space="preserve">
        <w:t> </w:t>
      </w:r>
      <w:r xml:space="preserve">
        <w:t> </w:t>
      </w:r>
      <w:r>
        <w:t xml:space="preserve">Wilson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16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ex-officio member representing the Department of Information Resources appointed by the governor;</w:t>
      </w:r>
    </w:p>
    <w:p w:rsidR="003F3435" w:rsidRDefault="0032493E">
      <w:pPr>
        <w:spacing w:line="480" w:lineRule="auto"/>
        <w:ind w:firstLine="1440"/>
        <w:jc w:val="both"/>
      </w:pPr>
      <w:r>
        <w:t xml:space="preserve">(5)</w:t>
      </w:r>
      <w:r xml:space="preserve">
        <w:t> </w:t>
      </w:r>
      <w:r xml:space="preserve">
        <w:t> </w:t>
      </w:r>
      <w:r>
        <w:t xml:space="preserve">one ex-officio member representing the secretary of state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(f)</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(g)</w:t>
      </w:r>
      <w:r xml:space="preserve">
        <w:t> </w:t>
      </w:r>
      <w:r xml:space="preserve">
        <w:t> </w:t>
      </w:r>
      <w:r>
        <w:t xml:space="preserve">The chair of the work group may create sub-work groups at the chair's discretion for the efficient operation of the work group. </w:t>
      </w:r>
      <w:r>
        <w:t xml:space="preserve"> </w:t>
      </w:r>
      <w:r>
        <w:t xml:space="preserve">The chair shall appoint the chair of each sub-work group. </w:t>
      </w:r>
      <w:r>
        <w:t xml:space="preserve"> </w:t>
      </w:r>
      <w:r>
        <w:t xml:space="preserve">The chair of a sub-work group may invite other members of the work group to serve on the sub-work group. </w:t>
      </w:r>
      <w:r>
        <w:t xml:space="preserve"> </w:t>
      </w:r>
      <w:r>
        <w:t xml:space="preserve">A sub-work group may consult with subject matter experts.</w:t>
      </w:r>
    </w:p>
    <w:p w:rsidR="003F3435" w:rsidRDefault="0032493E">
      <w:pPr>
        <w:spacing w:line="480" w:lineRule="auto"/>
        <w:ind w:firstLine="720"/>
        <w:jc w:val="both"/>
      </w:pPr>
      <w:r>
        <w:t xml:space="preserve">(h)</w:t>
      </w:r>
      <w:r xml:space="preserve">
        <w:t> </w:t>
      </w:r>
      <w:r xml:space="preserve">
        <w:t> </w:t>
      </w:r>
      <w:r>
        <w:t xml:space="preserve">Not later than October 31, 2022, the work group shall submit a report that includes the master plan developed under Subsection (f) of this section and any findings and recommendations from the sub-work groups appointed under Subsection (g)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(i)</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(j)</w:t>
      </w:r>
      <w:r xml:space="preserve">
        <w:t> </w:t>
      </w:r>
      <w:r xml:space="preserve">
        <w:t> </w:t>
      </w:r>
      <w:r>
        <w:t xml:space="preserve">This Act expires and the work group is abolished June 30,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2021, the governor, lieutenant governor, and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2021,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