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87R5796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an individual</w:t>
      </w:r>
      <w:r>
        <w:rPr>
          <w:u w:val="single"/>
        </w:rPr>
        <w:t xml:space="preserve">,</w:t>
      </w:r>
      <w:r>
        <w:t xml:space="preserve"> [</w:t>
      </w:r>
      <w:r>
        <w:rPr>
          <w:strike/>
        </w:rPr>
        <w:t xml:space="preserve">or</w:t>
      </w:r>
      <w:r>
        <w:t xml:space="preserve">] corporation</w:t>
      </w:r>
      <w:r>
        <w:rPr>
          <w:u w:val="single"/>
        </w:rPr>
        <w:t xml:space="preserve">, or limited liability company</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