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87R4668 RDS-F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health benefit plan coverage for scalp cooling systems, applications, and procedures for certain cancer patients.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E, Title 8, Insurance Code, is amended by adding Chapter 1380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1380.  COVERAGE FOR SCALP COOLING FOR CANCER PATIENTS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"Enrollee" means an individual entitled to coverage under a health benefit plan.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"Scalp cooling" means a system, application, or procedure approved by the United States Food and Drug Administration for reducing hair loss in an individual undergoing chemotherapy treatment.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CHAPTER.  (a)  This 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offered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fraternal benefit society operating under Chapter 885;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CONDITIONAL EXCEPTION.  This chapter does not apply to a qualified health plan if a determination is made under 45 C.F.R. Section 155.170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requires the plan to offer benefits in addition to the essential health benefits required under 42 U.S.C. Section 18022(b);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 is required to defray the cost of the benefits mandated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REQUIRED.  (a)  A health benefit plan must provide coverage for scalp cooling: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enrollee who is undergoing or has undergone medical treatment for cancer;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determined by the enrollee's treating physician to be appropriate for the enrollee in connection with the side effects of the medical treatment for cancer.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additional premium may not be charged for the coverage required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required under Subsection (a):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be provided in a manner determined to be appropriate in consultation with the treating physician and the enrollee;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subject to annual deductibles, copayments, and coinsurance consistent with annual deductibles, copayments, and coinsurance required for other coverage under the health benefit plan;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be subject to annual dollar limits.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1380.005.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PREAUTHORIZATION.  A health benefit plan may require prior authorization for scalp cooling in the same manner that the health benefit plan requires prior authorization for any other health benefit.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1380, Insurance Code, as added by this Act, applies only to a health benefit plan that is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