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87R4343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 , 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1589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paid leave for public officers and employees engaged in certain military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437.202, Government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the leave provided under Subsection (a), a person described by Subsection (a) called to state active duty by the governor or another appropriate authority in response to a disaster is entitled to a paid leave of absence from the person's duties for each day the person is called to active duty during the disaster, not to exceed seven workdays in a fiscal year.  During a leave of absence under this subsection, the person may not be subjected to loss of time, efficiency rating, personal time, sick leave, or vacation time. </w:t>
      </w:r>
      <w:r>
        <w:rPr>
          <w:u w:val="single"/>
        </w:rPr>
        <w:t xml:space="preserve"> </w:t>
      </w:r>
      <w:r>
        <w:rPr>
          <w:u w:val="single"/>
        </w:rPr>
        <w:t xml:space="preserve">For purposes of this subsection, "disaster"</w:t>
      </w:r>
      <w:r>
        <w:rPr>
          <w:u w:val="single"/>
        </w:rPr>
        <w:t xml:space="preserve"> </w:t>
      </w:r>
      <w:r>
        <w:rPr>
          <w:u w:val="single"/>
        </w:rPr>
        <w:t xml:space="preserve">has the meaning assigned by Section 418.004.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