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1593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may file an action for injunctive relief against a resident's responsible payor who engages in conduct described by Subsection (b). </w:t>
      </w:r>
      <w:r>
        <w:rPr>
          <w:u w:val="single"/>
        </w:rPr>
        <w:t xml:space="preserve"> </w:t>
      </w:r>
      <w:r>
        <w:rPr>
          <w:u w:val="single"/>
        </w:rPr>
        <w:t xml:space="preserve">The court may grant any appropriate injunctive relief to prevent or abate the conduct, including a temporary restraining order, temporary injunction, or permanent injunction.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prevailing party in an action filed under this section may recover attorney's fees.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