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87R2121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of all or part of the appraised value of the residence homesteads of certain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11.13(i), Tax Code, is amended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(s)</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w:t>
      </w:r>
      <w:r>
        <w:rPr>
          <w:u w:val="single"/>
        </w:rPr>
        <w:t xml:space="preserve">taxing</w:t>
      </w:r>
      <w:r>
        <w:t xml:space="preserv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11.13(m), Tax Code, is amended by adding Subdivisions (1-a) and (1-b)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"Eligible peace officer" means an individual listed under Article 2.12(1), (2), (3), or (4), Code of Criminal Procedure, who is employed full-time as a peace officer by this state or by a political subdivision of this state.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"High-need area" means an area designated by the governing body of a taxing unit that the governing body determines is likely to benefit from a greater number of peace officers residing in the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 Tax Code, is amended by adding Subsections (s) and (t)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eligible peace officer is entitled to an exemption from taxation by a taxing unit of all or part of the appraised value of the peace officer's residence homestead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exemption is adopted by the governing body of the taxing unit in the manner required by law for official action by the governing body;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officer's residence homestead is located in an area designated as a high-need area by the governing body of the taxing unit.</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governing body of a taxing unit may adopt the exemption provided by Subsection (s) as a specified dollar amount or as a percentage of the appraised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w:t>
      </w:r>
      <w:r>
        <w:rPr>
          <w:u w:val="single"/>
        </w:rPr>
        <w:t xml:space="preserve">,</w:t>
      </w:r>
      <w:r>
        <w:t xml:space="preserve"> [</w:t>
      </w:r>
      <w:r>
        <w:rPr>
          <w:strike/>
        </w:rPr>
        <w:t xml:space="preserve">or</w:t>
      </w:r>
      <w:r>
        <w:t xml:space="preserve">] (c), </w:t>
      </w:r>
      <w:r>
        <w:rPr>
          <w:u w:val="single"/>
        </w:rPr>
        <w:t xml:space="preserve">or (s),</w:t>
      </w:r>
      <w:r>
        <w:t xml:space="preserve">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but only if the constitutional amendment proposed by the 87th Legislature, Regular Session, 2021, authorizing a local option exemption from ad valorem taxation of all or part of the appraised value of the residence homesteads of certain peace officers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