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1602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regarding career and employment skills development required to be included with a written statement of an individualized education program developed for certain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29, Education Code, is amended by adding Section 29.0113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29.0113.</w:t>
      </w:r>
      <w:r>
        <w:rPr>
          <w:u w:val="single"/>
        </w:rPr>
        <w:t xml:space="preserve"> </w:t>
      </w:r>
      <w:r>
        <w:rPr>
          <w:u w:val="single"/>
        </w:rPr>
        <w:t xml:space="preserve"> </w:t>
      </w:r>
      <w:r>
        <w:rPr>
          <w:u w:val="single"/>
        </w:rPr>
        <w:t xml:space="preserve">CAREER AND EMPLOYMENT SKILLS DEVELOPMENT. </w:t>
      </w:r>
      <w:r>
        <w:rPr>
          <w:u w:val="single"/>
        </w:rPr>
        <w:t xml:space="preserve"> </w:t>
      </w:r>
      <w:r>
        <w:rPr>
          <w:u w:val="single"/>
        </w:rPr>
        <w:t xml:space="preserve">(a) </w:t>
      </w:r>
      <w:r>
        <w:rPr>
          <w:u w:val="single"/>
        </w:rPr>
        <w:t xml:space="preserve"> </w:t>
      </w:r>
      <w:r>
        <w:rPr>
          <w:u w:val="single"/>
        </w:rPr>
        <w:t xml:space="preserve">For students eligible to begin transition planning under sections 29.011 and 29.0111, the strategies described in this subsection shall be considered, and, when needed, addressed in the individualized education program. The district shall prepare a supplement to be included with the written statement of the individualized education program developed for the child under Section 29.005(b). The supplement must include information indicating: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need for and use of age-appropriate transition assessments that collect data on the student's needs, preferences and interests regarding employment, self-determination and self-advocacy, independent living and study skills;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development of appropriate employment goals and objectives;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need for and development of independent living goals and objectives;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need for and use of supplementary aids, services, curricula, and other opportunities to assist the student in developing decision-making skills, and the supports and services needed to foster the student's independence and self-determination, including a supported decision-making agreement under Chapter 1357, Estates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need for and use of age-appropriate instructional environments, including community settings to prepare the student for postsecondary education or training, or competitive integrated employment;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development of appropriate measurable postsecondary goals based on transition assessments related to training, education, employment, and, where appropriate, independent living skills;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need to facilitate a referral of a student or the student's parents to a governmental agency for services or public benefits, including a referral to a governmental agency for public benefits available to the student, such as a waiver program established under Section 1915(c), Social Security Act (42 U.S.C. Section 1396n(c)), including supported employment and employment assistance services;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transition services, including courses of study, needed to assist the student in reaching the postsecondary goals developed under this subsection;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job exploration activities available to and utilized by the student;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need for a referral to vocational rehabilitation services;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need to invite the student's vocational rehabilitation counselor to the student's admission, review, and dismissal committee meeting and opportunities for collaboration between the district and vocational rehabilitation;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training needed for teachers, counselors, parents and other school staff needed to implement the students transition and employment goals.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student's admission, review, and dismissal committee shall annually review the issues described by Subsection (a) and, if necessary, update the portions of the student's individualized education program that address those issues.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written statement of the individualized education program must document the decisions of the admission, review, and dismissal committee with respect to issues discussed at each admission, review, and dismissal committee meeting.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29.005(f) and Section 29.0051 do not apply to a supplement prepared for inclusion with a written statement of an individualized education program, as required by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shall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